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9"/>
        <w:jc w:val="right"/>
        <w:rPr>
          <w:rFonts w:ascii="仿宋" w:hAnsi="仿宋" w:eastAsia="仿宋" w:cs="仿宋"/>
          <w:b/>
          <w:color w:val="auto"/>
          <w:spacing w:val="76"/>
          <w:sz w:val="156"/>
          <w:highlight w:val="none"/>
        </w:rPr>
      </w:pPr>
      <w:r>
        <w:rPr>
          <w:rFonts w:hint="eastAsia" w:ascii="宋体" w:hAnsi="宋体"/>
          <w:b/>
          <w:color w:val="auto"/>
          <w:spacing w:val="76"/>
          <w:sz w:val="156"/>
          <w:highlight w:val="none"/>
        </w:rPr>
        <w:t xml:space="preserve"> </w:t>
      </w:r>
      <w:r>
        <w:rPr>
          <w:rFonts w:hint="eastAsia" w:ascii="宋体" w:hAnsi="宋体"/>
          <w:b/>
          <w:color w:val="auto"/>
          <w:spacing w:val="76"/>
          <w:sz w:val="156"/>
          <w:highlight w:val="none"/>
        </w:rPr>
        <mc:AlternateContent>
          <mc:Choice Requires="wpg">
            <w:drawing>
              <wp:inline xmlns:wp="http://schemas.openxmlformats.org/drawingml/2006/wordprocessingDrawing" distT="0" distB="0" distL="0" distR="0">
                <wp:extent cx="1615440" cy="1237615"/>
                <wp:effectExtent l="0" t="0" r="3810" b="635"/>
                <wp:docPr id="4" name="图片 1" descr="8bce715c6c3df8888d53c6b4750d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8bce715c6c3df8888d53c6b4750d3214"/>
                        <pic:cNvPicPr>
                          <a:picLocks noChangeAspect="1"/>
                        </pic:cNvPicPr>
                        <pic:nvPr/>
                      </pic:nvPicPr>
                      <pic:blipFill>
                        <a:blip r:embed="rId16"/>
                        <a:stretch/>
                      </pic:blipFill>
                      <pic:spPr bwMode="auto">
                        <a:xfrm>
                          <a:off x="0" y="0"/>
                          <a:ext cx="1615440" cy="1237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7.2pt;height:97.4pt;mso-wrap-distance-left:0.0pt;mso-wrap-distance-top:0.0pt;mso-wrap-distance-right:0.0pt;mso-wrap-distance-bottom:0.0pt;" stroked="f">
                <v:path textboxrect="0,0,0,0"/>
                <v:imagedata r:id="rId16" o:title=""/>
              </v:shape>
            </w:pict>
          </mc:Fallback>
        </mc:AlternateContent>
      </w:r>
      <w:r/>
    </w:p>
    <w:p>
      <w:pPr>
        <w:pStyle w:val="1009"/>
        <w:jc w:val="center"/>
        <w:rPr>
          <w:rFonts w:ascii="仿宋" w:hAnsi="仿宋" w:eastAsia="仿宋" w:cs="仿宋"/>
          <w:bCs/>
          <w:color w:val="auto"/>
          <w:spacing w:val="76"/>
          <w:sz w:val="156"/>
          <w:highlight w:val="none"/>
        </w:rPr>
      </w:pPr>
      <w:r>
        <w:rPr>
          <w:rFonts w:hint="eastAsia" w:ascii="仿宋" w:hAnsi="仿宋" w:eastAsia="仿宋" w:cs="仿宋"/>
          <w:bCs/>
          <w:color w:val="auto"/>
          <w:spacing w:val="76"/>
          <w:sz w:val="156"/>
          <w:highlight w:val="none"/>
        </w:rPr>
        <w:t xml:space="preserve">招标文件</w:t>
      </w:r>
      <w:r/>
    </w:p>
    <w:p>
      <w:pPr>
        <w:pStyle w:val="1009"/>
        <w:rPr>
          <w:rFonts w:ascii="仿宋" w:hAnsi="仿宋" w:eastAsia="仿宋" w:cs="仿宋"/>
          <w:b/>
          <w:color w:val="auto"/>
          <w:sz w:val="32"/>
          <w:highlight w:val="none"/>
        </w:rPr>
      </w:pPr>
      <w:r>
        <w:rPr>
          <w:rFonts w:ascii="仿宋" w:hAnsi="仿宋" w:eastAsia="仿宋" w:cs="仿宋"/>
          <w:b/>
          <w:color w:val="auto"/>
          <w:sz w:val="32"/>
          <w:highlight w:val="none"/>
        </w:rPr>
      </w:r>
      <w:r/>
    </w:p>
    <w:p>
      <w:pPr>
        <w:pStyle w:val="1009"/>
        <w:rPr>
          <w:rFonts w:ascii="仿宋" w:hAnsi="仿宋" w:eastAsia="仿宋" w:cs="仿宋"/>
          <w:b/>
          <w:color w:val="auto"/>
          <w:sz w:val="32"/>
          <w:highlight w:val="none"/>
        </w:rPr>
      </w:pPr>
      <w:r>
        <w:rPr>
          <w:rFonts w:ascii="仿宋" w:hAnsi="仿宋" w:eastAsia="仿宋" w:cs="仿宋"/>
          <w:b/>
          <w:color w:val="auto"/>
          <w:sz w:val="32"/>
          <w:highlight w:val="none"/>
        </w:rPr>
      </w:r>
      <w:r/>
    </w:p>
    <w:p>
      <w:pPr>
        <w:pStyle w:val="1010"/>
        <w:rPr>
          <w:color w:val="auto"/>
          <w:highlight w:val="none"/>
        </w:rPr>
      </w:pPr>
      <w:r>
        <w:rPr>
          <w:color w:val="auto"/>
          <w:highlight w:val="none"/>
        </w:rPr>
      </w:r>
      <w:r/>
    </w:p>
    <w:p>
      <w:pPr>
        <w:pStyle w:val="1009"/>
        <w:ind w:firstLine="640"/>
        <w:spacing w:line="360" w:lineRule="auto"/>
        <w:rPr>
          <w:rFonts w:ascii="仿宋" w:hAnsi="仿宋" w:eastAsia="仿宋" w:cs="仿宋"/>
          <w:color w:val="auto"/>
          <w:sz w:val="32"/>
          <w:highlight w:val="none"/>
        </w:rPr>
      </w:pPr>
      <w:r>
        <w:rPr>
          <w:rFonts w:hint="eastAsia" w:ascii="仿宋" w:hAnsi="仿宋" w:eastAsia="仿宋" w:cs="仿宋"/>
          <w:color w:val="auto"/>
          <w:sz w:val="32"/>
          <w:highlight w:val="none"/>
        </w:rPr>
        <w:t xml:space="preserve">   </w:t>
      </w:r>
      <w:r/>
    </w:p>
    <w:p>
      <w:pPr>
        <w:pStyle w:val="1009"/>
        <w:ind w:firstLine="1280"/>
        <w:spacing w:line="360" w:lineRule="auto"/>
        <w:rPr>
          <w:rFonts w:ascii="仿宋" w:hAnsi="仿宋" w:eastAsia="仿宋" w:cs="仿宋"/>
          <w:color w:val="auto"/>
          <w:sz w:val="32"/>
          <w:highlight w:val="none"/>
        </w:rPr>
      </w:pPr>
      <w:r>
        <w:rPr>
          <w:rFonts w:hint="eastAsia" w:ascii="仿宋" w:hAnsi="仿宋" w:eastAsia="仿宋" w:cs="仿宋"/>
          <w:color w:val="auto"/>
          <w:sz w:val="32"/>
          <w:highlight w:val="none"/>
        </w:rPr>
        <w:t xml:space="preserve">项目名称：徐州市检验检测中心餐厅原材料配送</w:t>
      </w:r>
      <w:r/>
    </w:p>
    <w:p>
      <w:pPr>
        <w:pStyle w:val="1009"/>
        <w:ind w:firstLine="1280"/>
        <w:spacing w:line="360" w:lineRule="auto"/>
        <w:rPr>
          <w:rFonts w:hint="eastAsia" w:ascii="仿宋" w:hAnsi="仿宋" w:eastAsia="仿宋" w:cs="仿宋"/>
          <w:color w:val="auto"/>
          <w:sz w:val="32"/>
          <w:highlight w:val="none"/>
          <w:lang w:eastAsia="zh-CN"/>
        </w:rPr>
      </w:pPr>
      <w:r>
        <w:rPr>
          <w:rFonts w:hint="eastAsia" w:ascii="仿宋" w:hAnsi="仿宋" w:eastAsia="仿宋" w:cs="仿宋"/>
          <w:color w:val="auto"/>
          <w:sz w:val="32"/>
          <w:highlight w:val="none"/>
        </w:rPr>
        <w:t xml:space="preserve">项目编号：</w:t>
      </w:r>
      <w:r>
        <w:rPr>
          <w:rFonts w:hint="eastAsia" w:ascii="仿宋" w:hAnsi="仿宋" w:eastAsia="仿宋" w:cs="仿宋"/>
          <w:color w:val="auto"/>
          <w:sz w:val="32"/>
          <w:highlight w:val="none"/>
          <w:lang w:eastAsia="zh-CN"/>
        </w:rPr>
        <w:t xml:space="preserve">JSZC-320300-HCGS-G2025-0013</w:t>
      </w:r>
      <w:r/>
    </w:p>
    <w:p>
      <w:pPr>
        <w:pStyle w:val="1009"/>
        <w:ind w:firstLine="1280"/>
        <w:spacing w:line="360" w:lineRule="auto"/>
        <w:rPr>
          <w:rFonts w:ascii="仿宋" w:hAnsi="仿宋" w:eastAsia="仿宋" w:cs="仿宋"/>
          <w:color w:val="auto"/>
          <w:sz w:val="32"/>
          <w:highlight w:val="none"/>
        </w:rPr>
      </w:pPr>
      <w:r>
        <w:rPr>
          <w:rFonts w:hint="eastAsia" w:ascii="仿宋" w:hAnsi="仿宋" w:eastAsia="仿宋" w:cs="仿宋"/>
          <w:color w:val="auto"/>
          <w:sz w:val="32"/>
          <w:highlight w:val="none"/>
        </w:rPr>
        <w:t xml:space="preserve">采 购 人：徐州市检验检测中心</w:t>
      </w:r>
      <w:r/>
    </w:p>
    <w:p>
      <w:pPr>
        <w:pStyle w:val="1009"/>
        <w:jc w:val="center"/>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09"/>
        <w:spacing w:line="360" w:lineRule="auto"/>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10"/>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10"/>
        <w:rPr>
          <w:rFonts w:ascii="仿宋" w:hAnsi="仿宋" w:eastAsia="仿宋" w:cs="仿宋"/>
          <w:color w:val="auto"/>
          <w:sz w:val="32"/>
          <w:szCs w:val="32"/>
          <w:highlight w:val="none"/>
        </w:rPr>
      </w:pPr>
      <w:r>
        <w:rPr>
          <w:rFonts w:ascii="仿宋" w:hAnsi="仿宋" w:eastAsia="仿宋" w:cs="仿宋"/>
          <w:color w:val="auto"/>
          <w:sz w:val="32"/>
          <w:szCs w:val="32"/>
          <w:highlight w:val="none"/>
        </w:rPr>
      </w:r>
      <w:r/>
    </w:p>
    <w:p>
      <w:pPr>
        <w:pStyle w:val="1009"/>
        <w:ind w:firstLine="640"/>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采购代理机构：华春建设工程项目管理有限责任公司</w:t>
      </w:r>
      <w:r/>
    </w:p>
    <w:p>
      <w:pPr>
        <w:pStyle w:val="1012"/>
        <w:ind w:firstLine="640"/>
        <w:jc w:val="center"/>
        <w:spacing w:line="360" w:lineRule="auto"/>
        <w:rPr>
          <w:rFonts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二〇二</w:t>
      </w:r>
      <w:r>
        <w:rPr>
          <w:rFonts w:hint="eastAsia" w:ascii="仿宋" w:hAnsi="仿宋" w:eastAsia="仿宋" w:cs="仿宋"/>
          <w:color w:val="auto"/>
          <w:sz w:val="32"/>
          <w:szCs w:val="32"/>
          <w:highlight w:val="none"/>
          <w:lang w:val="en-US" w:eastAsia="zh-CN"/>
        </w:rPr>
        <w:t xml:space="preserve">五</w:t>
      </w:r>
      <w:r>
        <w:rPr>
          <w:rFonts w:hint="eastAsia" w:ascii="仿宋" w:hAnsi="仿宋" w:eastAsia="仿宋" w:cs="仿宋"/>
          <w:color w:val="auto"/>
          <w:sz w:val="32"/>
          <w:szCs w:val="32"/>
          <w:highlight w:val="none"/>
        </w:rPr>
        <w:t xml:space="preserve">年十</w:t>
      </w:r>
      <w:r>
        <w:rPr>
          <w:rFonts w:hint="eastAsia" w:ascii="仿宋" w:hAnsi="仿宋" w:eastAsia="仿宋" w:cs="仿宋"/>
          <w:color w:val="auto"/>
          <w:sz w:val="32"/>
          <w:szCs w:val="32"/>
          <w:highlight w:val="none"/>
          <w:lang w:val="en-US" w:eastAsia="zh-CN"/>
        </w:rPr>
        <w:t xml:space="preserve">一</w:t>
      </w:r>
      <w:r>
        <w:rPr>
          <w:rFonts w:hint="eastAsia" w:ascii="仿宋" w:hAnsi="仿宋" w:eastAsia="仿宋" w:cs="仿宋"/>
          <w:color w:val="auto"/>
          <w:sz w:val="32"/>
          <w:szCs w:val="32"/>
          <w:highlight w:val="none"/>
        </w:rPr>
        <w:t xml:space="preserve">月</w:t>
      </w:r>
      <w:r/>
    </w:p>
    <w:p>
      <w:pPr>
        <w:pStyle w:val="1009"/>
        <w:jc w:val="left"/>
        <w:spacing w:line="360" w:lineRule="auto"/>
        <w:widowControl/>
        <w:rPr>
          <w:rFonts w:ascii="仿宋" w:hAnsi="仿宋" w:eastAsia="仿宋" w:cs="仿宋"/>
          <w:color w:val="auto"/>
          <w:sz w:val="32"/>
          <w:szCs w:val="32"/>
          <w:highlight w:val="none"/>
        </w:rPr>
        <w:sectPr>
          <w:headerReference w:type="default" r:id="rId9"/>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仿宋" w:hAnsi="仿宋" w:eastAsia="仿宋" w:cs="仿宋"/>
          <w:color w:val="auto"/>
          <w:sz w:val="32"/>
          <w:szCs w:val="32"/>
          <w:highlight w:val="none"/>
        </w:rPr>
      </w:r>
      <w:r/>
    </w:p>
    <w:p>
      <w:pPr>
        <w:pStyle w:val="818"/>
        <w:ind w:firstLine="880"/>
        <w:jc w:val="center"/>
        <w:rPr>
          <w:rFonts w:ascii="仿宋" w:hAnsi="仿宋" w:eastAsia="仿宋" w:cs="仿宋"/>
          <w:color w:val="auto"/>
          <w:sz w:val="44"/>
          <w:highlight w:val="none"/>
        </w:rPr>
      </w:pPr>
      <w:r>
        <w:rPr>
          <w:rFonts w:hint="eastAsia" w:ascii="仿宋" w:hAnsi="仿宋" w:eastAsia="仿宋" w:cs="仿宋"/>
          <w:color w:val="auto"/>
          <w:sz w:val="44"/>
          <w:highlight w:val="none"/>
        </w:rPr>
        <w:t xml:space="preserve">总目录</w:t>
      </w:r>
      <w:r/>
    </w:p>
    <w:p>
      <w:pPr>
        <w:ind w:firstLine="6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第一章 投标邀请</w:t>
      </w:r>
      <w:r/>
    </w:p>
    <w:p>
      <w:pPr>
        <w:ind w:firstLine="6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第二章 投标人须知</w:t>
      </w:r>
      <w:r/>
    </w:p>
    <w:p>
      <w:pPr>
        <w:ind w:firstLine="6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第三章 投标资料表</w:t>
      </w:r>
      <w:r/>
    </w:p>
    <w:p>
      <w:pPr>
        <w:ind w:firstLine="6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第四章 评标标准</w:t>
      </w:r>
      <w:r/>
    </w:p>
    <w:p>
      <w:pPr>
        <w:ind w:firstLine="6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第五章 拟签订的合同文本</w:t>
      </w:r>
      <w:r/>
    </w:p>
    <w:p>
      <w:pPr>
        <w:ind w:firstLine="6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第六章 采购需求</w:t>
      </w:r>
      <w:r/>
    </w:p>
    <w:p>
      <w:pPr>
        <w:ind w:firstLine="6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第七章 投标文件相关格式</w:t>
      </w:r>
      <w:r/>
    </w:p>
    <w:p>
      <w:pP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pStyle w:val="1009"/>
        <w:ind w:firstLine="643"/>
        <w:jc w:val="center"/>
        <w:spacing w:line="400" w:lineRule="exact"/>
        <w:rPr>
          <w:rFonts w:ascii="仿宋" w:hAnsi="仿宋" w:eastAsia="仿宋" w:cs="仿宋"/>
          <w:b/>
          <w:bCs/>
          <w:color w:val="auto"/>
          <w:sz w:val="32"/>
          <w:szCs w:val="32"/>
          <w:highlight w:val="none"/>
        </w:rPr>
        <w:sectPr>
          <w:headerReference w:type="default" r:id="rId10"/>
          <w:footnotePr/>
          <w:endnotePr/>
          <w:type w:val="nextPage"/>
          <w:pgSz w:w="11906" w:h="16838" w:orient="portrait"/>
          <w:pgMar w:top="1304" w:right="1361" w:bottom="1304" w:left="1361" w:header="737" w:footer="992" w:gutter="0"/>
          <w:cols w:num="1" w:sep="0" w:space="1701" w:equalWidth="1"/>
          <w:docGrid w:linePitch="360"/>
        </w:sectPr>
      </w:pPr>
      <w:r>
        <w:rPr>
          <w:rFonts w:ascii="仿宋" w:hAnsi="仿宋" w:eastAsia="仿宋" w:cs="仿宋"/>
          <w:b/>
          <w:bCs/>
          <w:color w:val="auto"/>
          <w:sz w:val="32"/>
          <w:szCs w:val="32"/>
          <w:highlight w:val="none"/>
        </w:rPr>
      </w:r>
      <w:r/>
    </w:p>
    <w:p>
      <w:pPr>
        <w:pStyle w:val="1009"/>
        <w:ind w:firstLine="643"/>
        <w:jc w:val="center"/>
        <w:spacing w:line="400"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第一章  投标邀请</w:t>
      </w:r>
      <w:r/>
    </w:p>
    <w:p>
      <w:pPr>
        <w:pStyle w:val="1009"/>
        <w:ind w:firstLine="480"/>
        <w:rPr>
          <w:rFonts w:ascii="仿宋" w:hAnsi="仿宋" w:eastAsia="仿宋" w:cs="仿宋"/>
          <w:color w:val="auto"/>
          <w:sz w:val="22"/>
          <w:szCs w:val="22"/>
          <w:highlight w:val="none"/>
        </w:rPr>
      </w:pPr>
      <w:r>
        <w:rPr>
          <w:rFonts w:ascii="仿宋" w:hAnsi="仿宋" w:eastAsia="仿宋" w:cs="仿宋"/>
          <w:color w:val="auto"/>
          <w:sz w:val="22"/>
          <w:szCs w:val="22"/>
          <w:highlight w:val="none"/>
        </w:rPr>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华春建设工程项目管理有限责任公司受徐州市检验检测中心委托，对徐州市检验检测中心餐厅原材料配送进行公开招标采购，现邀请符合相关条件的供应商投标。</w:t>
      </w:r>
      <w:r/>
    </w:p>
    <w:p>
      <w:pPr>
        <w:pStyle w:val="1009"/>
        <w:ind w:firstLine="482"/>
        <w:spacing w:line="3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一、项目名称和项目编号</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项目名称：徐州市检验检测中心餐厅原材料配送</w:t>
      </w:r>
      <w:r/>
    </w:p>
    <w:p>
      <w:pPr>
        <w:pStyle w:val="1009"/>
        <w:ind w:firstLine="480"/>
        <w:spacing w:line="360" w:lineRule="exact"/>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p>
    <w:p>
      <w:pPr>
        <w:pStyle w:val="1009"/>
        <w:numPr>
          <w:ilvl w:val="0"/>
          <w:numId w:val="2"/>
        </w:numPr>
        <w:ind w:firstLine="482"/>
        <w:spacing w:line="3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投标人的资格要求</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详见本项目公开招标公告。</w:t>
      </w:r>
      <w:r/>
    </w:p>
    <w:p>
      <w:pPr>
        <w:pStyle w:val="1009"/>
        <w:numPr>
          <w:ilvl w:val="0"/>
          <w:numId w:val="3"/>
        </w:numPr>
        <w:ind w:firstLine="482"/>
        <w:spacing w:line="3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获取招标文件</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本项目采用网上注册登记方式。</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（1）潜在投标人访问电子招标投标交易平台的网络地址和方法：</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①登录http://jszfcg.jsczt.cn/ ，或进入徐州政府采购网--业务工作--用户登录，点击“苏采云”进入系统。</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（2）采购代理机构将数据电文形式的招标文件加载至电子招标投标交易平台，供潜在投标人下载或者查阅。</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（3）售价：免费。 </w:t>
      </w:r>
      <w:r/>
    </w:p>
    <w:p>
      <w:pPr>
        <w:pStyle w:val="1009"/>
        <w:ind w:firstLine="482"/>
        <w:spacing w:line="3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四、投标有关信息</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1.投标截止时间：</w:t>
      </w:r>
      <w:r>
        <w:rPr>
          <w:rFonts w:hint="eastAsia" w:ascii="仿宋" w:hAnsi="仿宋" w:eastAsia="仿宋" w:cs="仿宋"/>
          <w:color w:val="auto"/>
          <w:sz w:val="24"/>
          <w:highlight w:val="none"/>
          <w:lang w:eastAsia="zh-CN"/>
        </w:rPr>
        <w:t xml:space="preserve">2025年12月17日</w:t>
      </w:r>
      <w:r>
        <w:rPr>
          <w:rFonts w:hint="eastAsia" w:ascii="仿宋" w:hAnsi="仿宋" w:eastAsia="仿宋" w:cs="仿宋"/>
          <w:color w:val="auto"/>
          <w:sz w:val="24"/>
          <w:highlight w:val="none"/>
        </w:rPr>
        <w:t xml:space="preserve">北京时间9：30</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2.开标时间：</w:t>
      </w:r>
      <w:r>
        <w:rPr>
          <w:rFonts w:hint="eastAsia" w:ascii="仿宋" w:hAnsi="仿宋" w:eastAsia="仿宋" w:cs="仿宋"/>
          <w:color w:val="auto"/>
          <w:sz w:val="24"/>
          <w:highlight w:val="none"/>
          <w:lang w:eastAsia="zh-CN"/>
        </w:rPr>
        <w:t xml:space="preserve">2025年12月17日</w:t>
      </w:r>
      <w:r>
        <w:rPr>
          <w:rFonts w:hint="eastAsia" w:ascii="仿宋" w:hAnsi="仿宋" w:eastAsia="仿宋" w:cs="仿宋"/>
          <w:color w:val="auto"/>
          <w:sz w:val="24"/>
          <w:highlight w:val="none"/>
        </w:rPr>
        <w:t xml:space="preserve">北京时间9：30</w:t>
      </w:r>
      <w:r/>
    </w:p>
    <w:p>
      <w:pPr>
        <w:pStyle w:val="1009"/>
        <w:ind w:firstLine="480"/>
        <w:jc w:val="left"/>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3.开标地点（线上开标地点）：“苏采云”系统（网址： http://jszfcg.jsczt.cn/）“开标大厅”或进入徐州政府采购网（网址：http://czj.xz.gov.cn/Home/HomeIndex）-业务工作 -采购人登录，点击“苏采云”进入系统“开标大厅”。 </w:t>
      </w:r>
      <w:r/>
    </w:p>
    <w:p>
      <w:pPr>
        <w:pStyle w:val="1009"/>
        <w:ind w:firstLine="482"/>
        <w:spacing w:line="3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五、采购人</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1．名称：徐州市检验检测中心</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2．地址：徐州市云龙区商聚路1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号</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3.采购项目联系人：朱秋阁</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4.联系方式：0516-67022590</w:t>
      </w:r>
      <w:r/>
    </w:p>
    <w:p>
      <w:pPr>
        <w:pStyle w:val="1009"/>
        <w:ind w:firstLine="482"/>
        <w:spacing w:line="36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六、采购代理机构</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1．名称：华春建设工程项目管理有限责任公司</w:t>
      </w:r>
      <w:r/>
    </w:p>
    <w:p>
      <w:pPr>
        <w:pStyle w:val="1009"/>
        <w:ind w:firstLine="480"/>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2．地址：徐州市新城区中茵广场3栋二楼218 邮编：221000</w:t>
      </w:r>
      <w:r/>
    </w:p>
    <w:p>
      <w:pPr>
        <w:pStyle w:val="1009"/>
        <w:ind w:firstLine="480"/>
        <w:jc w:val="left"/>
        <w:spacing w:line="36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3．联系方式：</w:t>
      </w:r>
      <w:r>
        <w:rPr>
          <w:rFonts w:hint="eastAsia" w:ascii="仿宋" w:hAnsi="仿宋" w:eastAsia="仿宋" w:cs="仿宋"/>
          <w:color w:val="auto"/>
          <w:sz w:val="24"/>
          <w:highlight w:val="none"/>
          <w:lang w:bidi="en-US"/>
        </w:rPr>
        <w:t xml:space="preserve">李昆</w:t>
      </w: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lang w:val="en-US" w:eastAsia="zh-CN" w:bidi="en-US"/>
        </w:rPr>
        <w:t xml:space="preserve">18252139142</w:t>
      </w:r>
      <w:r/>
    </w:p>
    <w:p>
      <w:pPr>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ind w:firstLine="600"/>
        <w:jc w:val="center"/>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第二章  投标人须知</w:t>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00"/>
        <w:jc w:val="center"/>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目 录</w:t>
      </w:r>
      <w:r/>
    </w:p>
    <w:p>
      <w:pPr>
        <w:ind w:left="420"/>
        <w:spacing w:line="360" w:lineRule="auto"/>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pStyle w:val="1009"/>
        <w:ind w:firstLine="600"/>
        <w:spacing w:line="6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一、总则</w:t>
      </w:r>
      <w:r/>
    </w:p>
    <w:p>
      <w:pPr>
        <w:pStyle w:val="1009"/>
        <w:ind w:firstLine="600"/>
        <w:spacing w:line="6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二、招标</w:t>
      </w:r>
      <w:r/>
    </w:p>
    <w:p>
      <w:pPr>
        <w:pStyle w:val="1009"/>
        <w:ind w:firstLine="600"/>
        <w:spacing w:line="6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三、投标</w:t>
      </w:r>
      <w:r/>
    </w:p>
    <w:p>
      <w:pPr>
        <w:pStyle w:val="1009"/>
        <w:ind w:firstLine="600"/>
        <w:spacing w:line="6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四、开标</w:t>
      </w:r>
      <w:r/>
    </w:p>
    <w:p>
      <w:pPr>
        <w:pStyle w:val="1009"/>
        <w:ind w:firstLine="600"/>
        <w:spacing w:line="6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五、评标</w:t>
      </w:r>
      <w:r/>
    </w:p>
    <w:p>
      <w:pPr>
        <w:pStyle w:val="1009"/>
        <w:ind w:firstLine="600"/>
        <w:spacing w:line="6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六、定标</w:t>
      </w:r>
      <w:r/>
    </w:p>
    <w:p>
      <w:pPr>
        <w:pStyle w:val="1009"/>
        <w:ind w:firstLine="600"/>
        <w:spacing w:line="6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七、政府采购合同</w:t>
      </w:r>
      <w:r/>
    </w:p>
    <w:p>
      <w:pPr>
        <w:pStyle w:val="1009"/>
        <w:ind w:firstLine="600"/>
        <w:spacing w:line="600" w:lineRule="exact"/>
        <w:rPr>
          <w:rFonts w:ascii="仿宋" w:hAnsi="仿宋" w:eastAsia="仿宋" w:cs="仿宋"/>
          <w:color w:val="auto"/>
          <w:highlight w:val="none"/>
        </w:rPr>
      </w:pPr>
      <w:r>
        <w:rPr>
          <w:rFonts w:hint="eastAsia" w:ascii="仿宋" w:hAnsi="仿宋" w:eastAsia="仿宋" w:cs="仿宋"/>
          <w:color w:val="auto"/>
          <w:sz w:val="30"/>
          <w:szCs w:val="30"/>
          <w:highlight w:val="none"/>
        </w:rPr>
        <w:t xml:space="preserve">八、询问和质疑</w:t>
      </w:r>
      <w:r/>
    </w:p>
    <w:p>
      <w:pPr>
        <w:pStyle w:val="1009"/>
        <w:ind w:firstLine="600"/>
        <w:spacing w:line="600" w:lineRule="exact"/>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九、电子招标投标交易平台</w:t>
      </w:r>
      <w:r/>
    </w:p>
    <w:p>
      <w:pPr>
        <w:pStyle w:val="1002"/>
        <w:rPr>
          <w:rFonts w:ascii="仿宋" w:hAnsi="仿宋" w:eastAsia="仿宋" w:cs="仿宋"/>
          <w:color w:val="auto"/>
          <w:highlight w:val="none"/>
        </w:rPr>
      </w:pPr>
      <w:r>
        <w:rPr>
          <w:rFonts w:ascii="仿宋" w:hAnsi="仿宋" w:eastAsia="仿宋" w:cs="仿宋"/>
          <w:color w:val="auto"/>
          <w:highlight w:val="none"/>
        </w:rPr>
      </w:r>
      <w:r/>
    </w:p>
    <w:p>
      <w:pPr>
        <w:ind w:firstLine="420"/>
        <w:rPr>
          <w:rFonts w:ascii="仿宋" w:hAnsi="仿宋" w:eastAsia="仿宋" w:cs="仿宋"/>
          <w:color w:val="auto"/>
          <w:highlight w:val="none"/>
        </w:rPr>
      </w:pPr>
      <w:r>
        <w:rPr>
          <w:rFonts w:hint="eastAsia" w:ascii="仿宋" w:hAnsi="仿宋" w:eastAsia="仿宋" w:cs="仿宋"/>
          <w:color w:val="auto"/>
          <w:highlight w:val="none"/>
        </w:rPr>
        <w:br w:type="page" w:clear="all"/>
      </w:r>
      <w:r/>
    </w:p>
    <w:p>
      <w:pPr>
        <w:pStyle w:val="1009"/>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一、总  则</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采购人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1.1采购人是指依法进行政府采购的国家机关、事业单位、团体组织。本项目采购人：见招标文件第三章《投标资料表》。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 政府采购方式</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2.1政府采购货物或者服务（以下简称“货物服务”）招标分为公开招标和邀请招标。本次采购采用的政府采购方式：见招标文件第三章《投标资料表》。</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 采购人应当在货物服务招标投标活动中落实节约能源、保护环境、扶持不发达地区和少数民族地区、促进中小企业发展等政府采购政策。</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4. 采购人应当按照财政部制定的《政府采购品目分类目录》确定采购项目属性。按照《政府采购品目分类目录》无法确定的，按照有利于采购项目实施的原则确定。</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采购人确定的采购项目属性：见招标文件第三章《投标资料表》。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5.采购人委托采购代理机构代理招标的，采购代理机构应当在采购人委托的范围内依法开展采购活动。本项目委托代理机构：见招标文件第三章《投标资料表》。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 投标人的资格条件</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6.1参加政府采购货物服务投标活动的供应商（以下简称“投标人”），应当是提供本国货物服务的本国供应商，但法律、行政法规规定外国供应商可以参加货物服务招标投标活动的除外。</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投标人，是指响应招标、参加投标竞争的法人、其他组织或者自然人。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6.2 投标人授权代表系指法定代表人或受法人委托的受托人。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 投标费用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7.1 投标人应承担所有与准备和参加投标有关的费用。无论投标的结果如何，采购代理机构对上述费用不承担任何责任和义务。</w:t>
      </w:r>
      <w:r/>
    </w:p>
    <w:p>
      <w:pPr>
        <w:pStyle w:val="1009"/>
        <w:jc w:val="center"/>
        <w:rPr>
          <w:rFonts w:ascii="仿宋" w:hAnsi="仿宋" w:eastAsia="仿宋" w:cs="仿宋"/>
          <w:b/>
          <w:color w:val="auto"/>
          <w:sz w:val="28"/>
          <w:szCs w:val="28"/>
          <w:highlight w:val="none"/>
        </w:rPr>
      </w:pPr>
      <w:r>
        <w:rPr>
          <w:rFonts w:ascii="仿宋" w:hAnsi="仿宋" w:eastAsia="仿宋" w:cs="仿宋"/>
          <w:b/>
          <w:color w:val="auto"/>
          <w:sz w:val="28"/>
          <w:szCs w:val="28"/>
          <w:highlight w:val="none"/>
        </w:rPr>
      </w:r>
      <w:r/>
    </w:p>
    <w:p>
      <w:pPr>
        <w:pStyle w:val="1009"/>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二、招  标</w:t>
      </w:r>
      <w:r/>
    </w:p>
    <w:p>
      <w:pPr>
        <w:pStyle w:val="1009"/>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 招标文件的内容</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8.1招标文件包括以下内容：</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第一章 投标邀请</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第二章 投标人须知</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第三章 投标资料表</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第四章 评标标准</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第五章 拟签订的合同文本</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第六章 采购需求</w:t>
      </w:r>
      <w:r/>
    </w:p>
    <w:p>
      <w:pPr>
        <w:pStyle w:val="1009"/>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第七章 投标文件相关格式</w:t>
      </w:r>
      <w:r/>
    </w:p>
    <w:p>
      <w:pPr>
        <w:pStyle w:val="1009"/>
        <w:ind w:firstLine="360"/>
        <w:rPr>
          <w:rFonts w:ascii="仿宋" w:hAnsi="仿宋" w:eastAsia="仿宋" w:cs="仿宋"/>
          <w:color w:val="auto"/>
          <w:sz w:val="24"/>
          <w:highlight w:val="none"/>
        </w:rPr>
      </w:pPr>
      <w:r>
        <w:rPr>
          <w:rFonts w:ascii="仿宋" w:hAnsi="仿宋" w:eastAsia="仿宋" w:cs="仿宋"/>
          <w:color w:val="auto"/>
          <w:sz w:val="24"/>
          <w:highlight w:val="none"/>
        </w:rPr>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 招标文件澄清或者修改</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9.2现场考察以招标文件第三章《投标资料表》中的要求为准。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9.3开标前答疑会以招标文件第三章《投标资料表》中的要求为准。</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jc w:val="center"/>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三、投标</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10.投标人应当按照招标文件的要求编制投标文件。投标文件应对招标文件提出的要求和条件作出实质性响应。</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11.投标文件的语言。投标文件以及投标人与采购代理机构就有关投标的往来函电均应使用本文件第三章《投标资料表》规定的语言书写，否则无效。</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12.投标文件的构成：</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12.1投标文件的构成以本文件第三章《投标资料表》中的要求为准。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12.2投标人应当提交的资格、资信证明文件，以本文件第三章《投标资料表》中的所提要求为准。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13投标函和价格表、商务条件、交货和提供服务的时间：</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13.1投标函和价格表的要求见本章（十二）、（十三），格式见本文件第七章《投标文件相关格式》中《投标函》和《开标一览表》。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13.2商务条件以本文件第三章《投标资料表》中的要求为准。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13.3交货和提供服务的时间，以本文件第三章《投标资料表》中所提要求为准。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14投标报价要求：</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14.1投标人应按照招标文件的要求报出分项价格和总价。</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14.2投标人应按照招标文件的要求进行报价，如投标人作出偏离，应在《偏离表》中列出。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14.3采购人不支付报价以外的任何费用。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14.4投标人所报的价格，在合同执行过程中是固定的，不得以任何理由予以变更。投标人提交滑动价格的投标文件，在资格性、符合性检查时按照无效投标处理。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14.5投标人只能提交一个投标价格，投标人提交多个价格的投标文件，在资格性、符合性检查时按照无效投标处理。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15.投标货币。以本文件第三章《投标资料表》中所提要求为准。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16.投标有效期：</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16.1投标有效期为开标之日后90天。采购人可以要求对投标有效期延长一次，但该延长期最长不得超过30天。</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16.2采购人要求延长投标有效期的，必须要在距投标有效期满20日之前，以书面形式通知投标人，如果有关投标人同意延长投标有效期的要求，其应在原投标有效期期满前以书面形式向采购人确认。</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16.3如果采购人发出要求延长投标有效期的通知，并在投标有效期届满前，没有收到投标人同意的书面通知，则视为该投标人不接受上述延期的要求。</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17投标文件的编制要求和签署要求</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17.1投标人应由其法定代表人或法定代表人授权代表在规定的网上投标时间，凭 CA 证书登陆“苏采云”系统在线编制投标文件（电子数据），并在投标截止时间之前上传投标文件。</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17.2投标人应对 CA 证书妥善保管，如被他人盗用投标，因此带来的结果均由投标人自行承担。</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17.3投标人应当对招标文件提出的要求和条件作出实质性响应，并在电子投标系统逐条应答。</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17.4投标人应对要求提供的资格证明文件（如资质证书、资格证书）、技术资料（如白皮书、彩页、手册、检测报告等）扫描上传至投标系统。</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18.投标文件的盖章要求：</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投标文件的盖章要求，以本文件第三章《投标资料表》中所提要求为准。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19.提交投标文件的截止时间和收到投标文件后注意事项。投标人应在招标文件要求的提交投标文件的截止时间前，将投标文件提交至“苏采云”系统。</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20.凡在招标文件要求提交投标文件的截止时间之后送达的投标文件，均为无效投标文件，“苏采云”系统将自动拒收。 各投标人应在规定时间内通过 CA 证书进行网上解密。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21.投标人在投标截止时间前，可以对所递交的投标文件进行补充、修改或者撤回。其所进行补充、修改的内容，应当按照招标文件要求进行签署、盖章，然后纳为投标文件的组成部分。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22.本项目不允许分包。</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23.投标人应当遵循公平竞争的原则，不得恶意串通，不得妨碍其他投标人的竞争行为，不得损害采购人或者其他投标人的合法权益。</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在评标过程中发现投标人有上述情形的，评标委员会应当认定其投标无效，并书面报告本级财政部门。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24.有下列情形之一的，其投标无效。</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1.不同投标人的投标文件，由同一单位或者个人编制；</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2.不同投标人委托同一单位或者个人办理投标事宜；</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3.不同投标人的投标文件中，所载明的项目管理成员或联系人为同一人；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4.不同投标人的投标文件，异常一致或者投标报价呈规律性差异；</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6.电子投标文件未按规定期限投标的；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7.电子投标文件未按招标文件要求签章的；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8.投标人未在规定时间内解密电子投标文件的；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9.投标文件未按招标文件规定的内容和要求填写的；没有在投标系统指定位置上传对应文件、材料的；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10.不具备招标文件中规定的资格要求的；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11.报价超过招标文件中规定的预算金额或者最高限价的；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12.投标文件含有采购人不能接受的附加条件的；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13.法律、法规和招标文件规定的其他无效情形。</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numPr>
          <w:ilvl w:val="0"/>
          <w:numId w:val="4"/>
        </w:numPr>
        <w:ind w:firstLine="562"/>
        <w:jc w:val="center"/>
        <w:spacing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开标</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25.开标：</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25.1开标时间及地点。开标应当在招标文件确定的提交投标文件截止时间的同一时间公开进行；开标地点应当为招标文件中预先确定的地点。</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25.2由电子招标投标交易平台主持，邀请投标人参加。</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25.3所有投标单位使用 CA 证书在开标时间时，解密各自投标文件，由工作人员操作系统进行开标，投标人不足3家的，不得评标。</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25.4投标人原因造成投标文件未解密的，视为撤销其投标文件;因投标人之外的原因造成投标文件未解密的，视为撤回其投标文件。部分投标文件未解密的，其他投标文件的开标可以继续进行。</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numPr>
          <w:ilvl w:val="0"/>
          <w:numId w:val="4"/>
        </w:numPr>
        <w:ind w:firstLine="562"/>
        <w:jc w:val="center"/>
        <w:spacing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评标</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26.公开招标采购项目开标结束后，采购人依法对投标人的资格进行审查。合格投标人不足3家的，不得评标。</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26.1评标工作由采购代理机构负责组织，并履行下列职责：</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（1）核对评审专家身份和采购人代表授权函，对评审专家在政府采购活动中的职责履行情况予以记录，并及时将有关违法违规行为向财政部门报告；</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（2）宣布评标纪律；</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（3）公布投标人名单，告知评审专家应当回避的情形；</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（4）组织评标委员会推选评标组长（采购人代表不得担任组长）；</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（5）在评标期间采取必要的通讯管理措施，保证评标活动不受外界干扰；</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（6）根据评标委员会的要求介绍政府采购相关政策法规、招标文件；</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（8）核对评标结果，对有《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仿宋" w:hAnsi="仿宋" w:eastAsia="仿宋" w:cs="仿宋"/>
          <w:color w:val="auto"/>
          <w:sz w:val="24"/>
          <w:highlight w:val="none"/>
        </w:rPr>
        <w:t xml:space="preserve">政府采购</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货物和服务招标投标管理办法》第六十四条规定情形的，应要求评标委员会复核或者书面说明理由，评标委员会拒绝的，应予记录并向本级财政部门报告；</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（9）评审工作完成后，按照规定向评审专家支付劳务报酬和异地评审差旅费，不得向评审专家以外的其他人员支付评审劳务报酬； </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（10）处理与评标有关的其他事项。</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26.2评标委员会负责具体评标事务，并独立履行下列职责：</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（1）审查、评价投标文件是否符合招标文件的商务、技术等实质性要求；</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（2）要求投标人对投标文件有关事项作出澄清或者说明；</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（3）对投标文件进行比较和评价；</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（4）确定中标候选人名单，以及根据采购人委托直接确定中标人；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（5）向采购人、采购代理机构或有关部门报告评标中发现的违法行为。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27.评标方法分为最低评标价法和综合评分法。</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28评标</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28.1评标工作程序：</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（1）投标文件初审。</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①资格性审查。</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②符合性审查。</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（2）澄清有关问题。</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（3）比较与评价。</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（4）推荐中标候选供应商名单。</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（5）编写评审报告（评标报告）。</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28.2在评标中，不得改变招标文件中规定的评标标准、方法和中标条件。评标委员会对投标文件响应性的判定，要基于投标文件本身的内容，而不得寻求外部的证据。</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28.3采用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仿宋" w:hAnsi="仿宋" w:eastAsia="仿宋" w:cs="仿宋"/>
          <w:color w:val="auto"/>
          <w:sz w:val="24"/>
          <w:highlight w:val="none"/>
        </w:rPr>
        <w:t xml:space="preserve">最低评标价法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仿宋" w:hAnsi="仿宋" w:eastAsia="仿宋" w:cs="仿宋"/>
          <w:color w:val="auto"/>
          <w:sz w:val="24"/>
          <w:highlight w:val="none"/>
        </w:rPr>
        <w:t xml:space="preserve">综合评分法</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非单一产品采购项目，多家投标人提供的核心产品品牌相同的，按前两款规定处理。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29.投标文件报价出现前后不一致的，按照下列规定修正：</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29.1投标文件中开标一览表（报价表）内容与投标文件中相应内容不一致的，以开标一览表（报价表）为准；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29.2大写金额和小写金额不一致的，以大写金额为准；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29.3单价金额小数点或者百分比有明显错位的，以开标一览表的总价为准，并修改单价；</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29.4总价金额与按单价合计金额不一致的，以单价金额计算结果为准。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评标中需要投标人对投标文件澄清或者说明的，应当通过“苏采云”系统交换数据电文。在评标期间，请投标人保持在线。</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30.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31.评标委员会成员对需要共同认定的事项存在争议的，应当按照少数服从多数的原则作出结论。持不同意见的评标委员会成员应当在评标报告上签署不同意见及理由，否则视为同意评标报告。</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32.废标条款：</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出现下列情形之一的，应予废标。</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1.符合专业条件的供应商或者对招标文件作实质响应的供应商不足三家的；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2.出现影响采购公正的违法、违规行为的；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3.投标人的报价均超过了采购预算，采购人不能支付的；</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4.因重大变故，采购任务取消的。</w:t>
      </w:r>
      <w:r/>
    </w:p>
    <w:p>
      <w:pPr>
        <w:pStyle w:val="1009"/>
        <w:ind w:firstLine="482"/>
        <w:jc w:val="center"/>
        <w:spacing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六、定标</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33.采购代理机构应当在评标结束后2个工作日内将评标报告送采购人。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34.采购人应当自收到评标报告之日起5个工作日内，在评标报告确定的中标候选人名单中按顺序确定中标人。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35.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jc w:val="center"/>
        <w:spacing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七、政府采购合同</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36.签订政府采购合同（合同签订方式）：</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36.1采购人应当自中标通知书发出之日起30日内，按照招标文件和中标人投标文件的规定，与中标人签订书面合同。所签订的合同不得对招标文件确定的事项和中标人投标文件作实质性修改。</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采购人不得向中标人提出任何不合理的要求作为签订合同的条件。</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36.2中标或者成交供应商拒绝与采购人签订合同的，采购人可以按照评审报告推荐的中标或者成交候选人名单排序，确定下一个候选人为中标或者成交供应商，也可以重新开展政府采购活动。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37.采购人与中标人应当根据合同的约定依法履行合同义务。政府采购合同的履行、违约责任和解决争议的方法等，按《中华人民共和国合同法》相关条款执行。</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38.履约保证金：</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38.1 中标人应在政府采购合同签订后，向采购人提交本文件第三章《投标资料表》中规定金额的履约保证金。</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38.2如果中标人没有遵守本章（三十八）1 或本章（三十九） 的规定，采购代理机构有权取消该中标决定。在此情况下，采购人可以与排位在中标人之后第一位的中标候选人签订政府采购合同，以此类推。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38.3中标人凭采购人出具验收书的复印件及收款收据办理履约保证金退付手续。履约保证金在采购人处存放期间，不计利息。</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39腐败和欺诈行为：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39.1采购代理机构、采购人、投标人等参与招投标的各方，均应在招标、采购、合同执行等过程中保持廉洁和最高的道德水准。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（1）腐败和欺诈行为的含义：</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（2）如果被推荐的中标人有腐败和欺诈行为，将取消其中标资格。</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numPr>
          <w:ilvl w:val="0"/>
          <w:numId w:val="5"/>
        </w:numPr>
        <w:ind w:firstLine="482"/>
        <w:jc w:val="center"/>
        <w:spacing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询问和质疑</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40.询问和质疑</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numPr>
          <w:ilvl w:val="0"/>
          <w:numId w:val="5"/>
        </w:numPr>
        <w:ind w:firstLine="482"/>
        <w:jc w:val="center"/>
        <w:spacing w:line="400" w:lineRule="exact"/>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电子招标投标交易平台</w:t>
      </w:r>
      <w:r/>
    </w:p>
    <w:p>
      <w:pPr>
        <w:pStyle w:val="1002"/>
        <w:spacing w:after="0"/>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41.电子招标投标交易平台（即“苏采云”系统，网址：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仿宋" w:hAnsi="仿宋" w:eastAsia="仿宋" w:cs="仿宋"/>
          <w:color w:val="auto"/>
          <w:sz w:val="24"/>
          <w:highlight w:val="none"/>
        </w:rPr>
        <w:t xml:space="preserve">http://jszfcg.jsczt.cn/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）相关要求是本招标文件的组成部分。</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rPr>
          <w:rFonts w:ascii="仿宋" w:hAnsi="仿宋" w:eastAsia="仿宋" w:cs="仿宋"/>
          <w:b/>
          <w:bCs/>
          <w:color w:val="auto"/>
          <w:sz w:val="24"/>
          <w:highlight w:val="none"/>
        </w:rPr>
      </w:pPr>
      <w:r>
        <w:rPr>
          <w:rFonts w:hint="eastAsia" w:ascii="仿宋" w:hAnsi="仿宋" w:eastAsia="仿宋" w:cs="仿宋"/>
          <w:b/>
          <w:bCs/>
          <w:color w:val="auto"/>
          <w:sz w:val="24"/>
          <w:highlight w:val="none"/>
        </w:rPr>
        <w:br w:type="page" w:clear="all"/>
      </w:r>
      <w:r/>
    </w:p>
    <w:p>
      <w:pPr>
        <w:pStyle w:val="1009"/>
        <w:jc w:val="center"/>
        <w:rPr>
          <w:rFonts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第三章  投标资料表</w:t>
      </w:r>
      <w:r/>
    </w:p>
    <w:p>
      <w:pPr>
        <w:pStyle w:val="1015"/>
        <w:ind w:firstLine="48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该资料表的条款项号是与《投标人须知》中条款项号对应的，若有增加的条款，是对《投标人须知》的补充、修改和完善，如果有矛盾的话，应以本资料表为准。</w:t>
      </w:r>
      <w:r/>
    </w:p>
    <w:tbl>
      <w:tblPr>
        <w:tblStyle w:val="816"/>
        <w:tblW w:w="9575"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8"/>
        <w:gridCol w:w="8207"/>
      </w:tblGrid>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内容</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一、总则</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采购人：徐州市检验检测中心</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本次采购采用的政府采购方式：公开招标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left"/>
              <w:rPr>
                <w:rFonts w:ascii="仿宋" w:hAnsi="仿宋" w:eastAsia="仿宋" w:cs="仿宋"/>
                <w:b/>
                <w:color w:val="auto"/>
                <w:sz w:val="24"/>
                <w:highlight w:val="none"/>
                <w:u w:val="single"/>
              </w:rPr>
            </w:pPr>
            <w:r>
              <w:rPr>
                <w:rFonts w:hint="eastAsia" w:ascii="仿宋" w:hAnsi="仿宋" w:eastAsia="仿宋" w:cs="仿宋"/>
                <w:color w:val="auto"/>
                <w:sz w:val="24"/>
                <w:highlight w:val="none"/>
              </w:rPr>
              <w:t xml:space="preserve">采购人确定的采购项目属性：服务</w:t>
            </w:r>
            <w:r/>
          </w:p>
        </w:tc>
      </w:tr>
      <w:tr>
        <w:trPr>
          <w:trHeight w:val="7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本项目采购代理机构：华春建设工程项目管理有限责任公司</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szCs w:val="32"/>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投标人的资格条件：</w:t>
            </w:r>
            <w:r/>
          </w:p>
          <w:p>
            <w:pPr>
              <w:pStyle w:val="1009"/>
              <w:ind w:firstLine="480"/>
              <w:jc w:val="left"/>
              <w:tabs>
                <w:tab w:val="left" w:pos="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1、符合《中华人民共和国政府采购法》第二十二条的规定；</w:t>
            </w:r>
            <w:r/>
          </w:p>
          <w:p>
            <w:pPr>
              <w:pStyle w:val="1008"/>
              <w:ind w:left="0"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2、落实政府采购政策需满足的资格要求：本项目属于专门面向中小微企业采购的项目，供应商应为中小微企业、监狱企业、残疾人福利性单位；</w:t>
            </w:r>
            <w:r/>
          </w:p>
          <w:p>
            <w:pPr>
              <w:pStyle w:val="1008"/>
              <w:ind w:left="0"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3、本项目的特定资格要求：无</w:t>
            </w:r>
            <w:r/>
          </w:p>
          <w:p>
            <w:pPr>
              <w:pStyle w:val="1009"/>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同时明确相关事项如下：</w:t>
            </w:r>
            <w:r/>
          </w:p>
          <w:p>
            <w:pPr>
              <w:pStyle w:val="1009"/>
              <w:ind w:firstLine="482"/>
              <w:jc w:val="lef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1、本项目不接受联合体参与采购活动。</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2、单位负责人为同一人或者存在直接控股、管理关系的不同供应商，不得参加同一合同项下的政府采购活动。</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3、为本采购项目提供整体设计、规范编制或者项目管理、监理、检测等服务的供应商，不得再参加本采购项目的采购活动。</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4、查询及使用投标人（以联合体形式投标的，含所有联合体成员）信用记录：</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（1）由采购人查询信用信息。</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（2）查询渠道包括：</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①“信用中国”网（</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仿宋" w:hAnsi="仿宋" w:eastAsia="仿宋" w:cs="仿宋"/>
                <w:color w:val="auto"/>
                <w:sz w:val="24"/>
                <w:highlight w:val="none"/>
              </w:rPr>
              <w:t xml:space="preserve">www.creditchina.gov.cn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②中国政府采购网（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仿宋" w:hAnsi="仿宋" w:eastAsia="仿宋" w:cs="仿宋"/>
                <w:color w:val="auto"/>
                <w:sz w:val="24"/>
                <w:highlight w:val="none"/>
              </w:rPr>
              <w:t xml:space="preserve">www.ccgp.gov.cn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③“信用江苏”网（http://credit.jiangsu.gov.cn）；</w:t>
            </w:r>
            <w:r/>
          </w:p>
          <w:p>
            <w:pPr>
              <w:pStyle w:val="1009"/>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④“信用中国（江苏徐州）”网（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仿宋" w:hAnsi="仿宋" w:eastAsia="仿宋" w:cs="仿宋"/>
                <w:color w:val="auto"/>
                <w:sz w:val="24"/>
                <w:highlight w:val="none"/>
              </w:rPr>
              <w:t xml:space="preserve">http://www.xuzhoucredit.gov.cn</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 xml:space="preserve">）。</w:t>
            </w:r>
            <w:r/>
          </w:p>
          <w:p>
            <w:pPr>
              <w:pStyle w:val="1009"/>
              <w:numPr>
                <w:ilvl w:val="0"/>
                <w:numId w:val="6"/>
              </w:num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截止时点（查询环节）：开标后资格审查结束前。</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（4）信用信息查询记录和证据留存的具体方式：网页截屏打印，与其他采购文件一并保存。</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（5）信用信息的使用规则：</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招标代理服务费由中标人支付，收费标准按本招标文件《招标代理服务收费标准》执行。</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二、招标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tabs>
                <w:tab w:val="left" w:pos="576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(十)</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rPr>
                <w:rFonts w:ascii="仿宋" w:hAnsi="仿宋" w:eastAsia="仿宋" w:cs="仿宋"/>
                <w:color w:val="auto"/>
                <w:sz w:val="24"/>
                <w:highlight w:val="none"/>
              </w:rPr>
            </w:pPr>
            <w:r>
              <w:rPr>
                <w:rFonts w:hint="eastAsia" w:ascii="仿宋" w:hAnsi="仿宋" w:eastAsia="仿宋" w:cs="仿宋"/>
                <w:color w:val="auto"/>
                <w:sz w:val="24"/>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三、投标</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(十二)</w:t>
            </w:r>
            <w:r/>
          </w:p>
          <w:p>
            <w:pPr>
              <w:pStyle w:val="1009"/>
              <w:ind w:firstLine="480"/>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线上投标文件编制要求：</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请按照以下要求（包括但不限于以下要求）制作：</w:t>
            </w:r>
            <w:r/>
          </w:p>
          <w:p>
            <w:pPr>
              <w:pStyle w:val="1009"/>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一、基本目录</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1.《开标一览表》（加盖电子签章，政府采购客户端工具输入报价自动生成）；</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2.《授权委托书》（提供原件的扫描件，格式见招标文件第七章《投标文件相关格式》）；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3.所投产品的环境标志产品认证证书原件的扫描件（如有）。</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（2）环境标志产品认证证书是否符合要求，采购人评标时查询中国政府采购网（www.ccgp.gov.cn）相关内容后确定。</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4.所投产品的节能产品认证证书原件的扫描件（如有）。</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（2）节能产品认证证书是否符合要求，采购人评标时查询中国政府采购网（www.ccgp.gov.cn）相关内容后确定。</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5.投标人认为需要提供的其他资料的扫描件（如有）。</w:t>
            </w:r>
            <w:r/>
          </w:p>
          <w:p>
            <w:pPr>
              <w:pStyle w:val="1009"/>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二、资格条件（1～8项必须提供，否则投标无效）</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1.投标人合法有效的法人或者其他组织的营业执照等证明文件，自然人的身份证明。以上证明文件提供原件的扫描件;</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w:t>
            </w:r>
            <w:r>
              <w:rPr>
                <w:rFonts w:hint="eastAsia" w:ascii="仿宋" w:hAnsi="仿宋" w:eastAsia="仿宋" w:cs="仿宋"/>
                <w:bCs/>
                <w:sz w:val="24"/>
                <w:highlight w:val="none"/>
              </w:rPr>
              <w:t xml:space="preserve">财务状况报告，即提供投标人的本项目开标时间前6个月内任何时间的资产负债表、利润表扫描件各一份；或提供投标人2024年度经审计的财务报告扫描件一份；或投标人的本项目开标时间前6个月内银行出具的资信证明扫描件一份；</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3.投标人依法缴纳税收和社会保障资金的记录：</w:t>
            </w:r>
            <w:r/>
          </w:p>
          <w:p>
            <w:pPr>
              <w:ind w:right="28" w:firstLine="480"/>
              <w:rPr>
                <w:rFonts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Cs/>
                <w:color w:val="auto"/>
                <w:sz w:val="24"/>
                <w:highlight w:val="none"/>
              </w:rPr>
              <w:t xml:space="preserve">投标人的本项目开标时间前6个月内任何1个月的依法缴纳税收扫描件和社会保障资金扫描件各一份的相关材料（依法免税或不需要缴纳社会保障资金的供应商,提供相应文件扫</w:t>
            </w:r>
            <w:r>
              <w:rPr>
                <w:rFonts w:hint="eastAsia" w:ascii="仿宋" w:hAnsi="仿宋" w:eastAsia="仿宋" w:cs="仿宋"/>
                <w:color w:val="auto"/>
                <w:sz w:val="24"/>
                <w:highlight w:val="none"/>
              </w:rPr>
              <w:t xml:space="preserve">描件证明其依法免税或不需要缴纳社会保障资金)；</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4.具备履行合同所必需的设备和专业技术能力的证明材料。投标文件中提供《</w:t>
            </w:r>
            <w:bookmarkStart w:id="0" w:name="_Toc515551102"/>
            <w:r>
              <w:rPr>
                <w:rFonts w:hint="eastAsia" w:ascii="仿宋" w:hAnsi="仿宋" w:eastAsia="仿宋" w:cs="仿宋"/>
                <w:bCs/>
                <w:color w:val="auto"/>
                <w:sz w:val="24"/>
                <w:highlight w:val="none"/>
              </w:rPr>
              <w:t xml:space="preserve">具备履行合同所必需的设备和专业技术能力的书面声明</w:t>
            </w:r>
            <w:bookmarkEnd w:id="0"/>
            <w:r>
              <w:rPr>
                <w:rFonts w:hint="eastAsia" w:ascii="仿宋" w:hAnsi="仿宋" w:eastAsia="仿宋" w:cs="仿宋"/>
                <w:bCs/>
                <w:color w:val="auto"/>
                <w:sz w:val="24"/>
                <w:highlight w:val="none"/>
              </w:rPr>
              <w:t xml:space="preserve">（附证明材料原件的扫描件）》（加盖电子签章，格式见招标文件第七章《投标文件相关格式》）；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5.投标人参加政府采购活动前3年内在经营活动中没有重大违法记录的书面声明（加盖电子签章，格式见招标文件第七章《投标文件相关格式》）；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7.投标人不是为本采购项目提供整体设计、规范编制或者项目管理、监理、检测等服务的供应商的书面声明。（加盖电子签章，格式见招标文件第七章《投标文件相关格式》）。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8.投标人提供的服务全部由符合政策要求的中小企业承接的，提供《中小企业声明函》（</w:t>
            </w:r>
            <w:r>
              <w:rPr>
                <w:rFonts w:hint="eastAsia" w:ascii="仿宋" w:hAnsi="仿宋" w:eastAsia="仿宋" w:cs="仿宋"/>
                <w:b/>
                <w:color w:val="auto"/>
                <w:sz w:val="24"/>
                <w:highlight w:val="none"/>
              </w:rPr>
              <w:t xml:space="preserve">必须提供</w:t>
            </w:r>
            <w:r>
              <w:rPr>
                <w:rFonts w:hint="eastAsia" w:ascii="仿宋" w:hAnsi="仿宋" w:eastAsia="仿宋" w:cs="仿宋"/>
                <w:bCs/>
                <w:color w:val="auto"/>
                <w:sz w:val="24"/>
                <w:highlight w:val="none"/>
              </w:rPr>
              <w:t xml:space="preserve">，填写完整，加盖电子签章，格式见招标文件第七章《投标文件相关格式》如不填写完整，视为无效）。</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注：具体以《政府采购促进中小企业发展管理办法》（财库[2020]46号）和《关于印发中小企业划型标准规定的通知》（工信部联企业[2011]300号）的规定为准。</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注：监狱企业和残疾人福利性单位等同于小微企业。</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投标人为监狱企业的，提供省级以上监狱管理局、戒毒管理局（含新疆生产建设兵团）出具的属于监狱企业的证明文件原件的扫描件。</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具体以《财政部 司法部关于政府采购支持监狱企业发展有关问题的通知》（财库〔2014〕68号）的规定为准。</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投标人为享受政府采购支持政策的残疾人福利性单位的，提供《残疾人福利性单位声明函》（加盖电子签章，格式见招标文件第七章《投标文件相关格式》）。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享受政府采购支持政策的残疾人福利性单位应当同时满足以下条件：</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①安置的残疾人占本单位在职职工人数的比例不低于25%（含25%），并且安置的残疾人人数不少于10人（含10人）；</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②依法与安置的每位残疾人签订了一年以上（含一年）的劳动合同或服务协议；</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③为安置的每位残疾人按月足额缴纳了基本养老保险、基本医疗保险、失业保险、工伤保险和生育保险等社会保险费；</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④通过银行等金融机构向安置的每位残疾人，按月支付了不低于单位所在区县适用的经省级人民政府批准的月最低工资标准的工资；</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具体以《三部门联合发布关于促进残疾人就业政府采购政策的通知》（财库〔2017〕141号）规定为准。</w:t>
            </w:r>
            <w:r/>
          </w:p>
          <w:p>
            <w:pPr>
              <w:pStyle w:val="1009"/>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9.投标人信用信息（要求见本章条款项号“(六)”中“4、”内容）。</w:t>
            </w:r>
            <w:r/>
          </w:p>
          <w:p>
            <w:pPr>
              <w:pStyle w:val="1009"/>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三、符合条件（必须提供，否则投标无效）</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（一）报价</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lang w:val="en-US" w:eastAsia="zh-CN"/>
              </w:rPr>
              <w:t xml:space="preserve">1</w:t>
            </w:r>
            <w:r>
              <w:rPr>
                <w:rFonts w:hint="eastAsia" w:ascii="仿宋" w:hAnsi="仿宋" w:eastAsia="仿宋" w:cs="仿宋"/>
                <w:bCs/>
                <w:color w:val="auto"/>
                <w:sz w:val="24"/>
                <w:highlight w:val="none"/>
              </w:rPr>
              <w:t xml:space="preserve">.《分项价格表》（加盖电子签章，格式见招标文件第七章《投标文件相关格式》。）；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（二）商务资信</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1.《投标函》（加盖电子签章，格式见招标文件第七章《投标文件相关格式》。）；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2、《授权委托书》（加盖电子签章，格式见招标文件第七章《投标文件相关格式》。）；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（三）技术响应</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1.《偏离表》（加盖电子签章，格式见招标文件第七章《投标文件相关格式》。）；</w:t>
            </w:r>
            <w:r/>
          </w:p>
          <w:p>
            <w:pPr>
              <w:pStyle w:val="1009"/>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四、综合评审评分项</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（一）技术部分</w:t>
            </w:r>
            <w:r/>
          </w:p>
          <w:p>
            <w:pPr>
              <w:pStyle w:val="1026"/>
              <w:ind w:left="0"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1.食材供应及配送方案（要求见招标文件第四章《评标标准》及第六章《采购需求》；</w:t>
            </w:r>
            <w:r/>
          </w:p>
          <w:p>
            <w:pPr>
              <w:pStyle w:val="1026"/>
              <w:ind w:left="0"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2.食材质量保证措施（包括食材质量保证措施及食材质量保障能力）（要求见招标文件第四章《评标标准》及第六章《采购需求》；</w:t>
            </w:r>
            <w:r/>
          </w:p>
          <w:p>
            <w:pPr>
              <w:pStyle w:val="1026"/>
              <w:ind w:left="0"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3.食材质量保障能力（要求见招标文件第四章《评标标准》及第六章《采购需求》；</w:t>
            </w:r>
            <w:r/>
          </w:p>
          <w:p>
            <w:pPr>
              <w:pStyle w:val="1026"/>
              <w:ind w:left="0"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4.配合与服从采购人管理方案（要求见招标文件第四章《评标标准》及第六章《采购需求》；</w:t>
            </w:r>
            <w:r/>
          </w:p>
          <w:p>
            <w:pPr>
              <w:pStyle w:val="1026"/>
              <w:ind w:left="0" w:firstLine="480"/>
              <w:rPr>
                <w:rFonts w:ascii="仿宋" w:hAnsi="仿宋" w:eastAsia="仿宋" w:cs="宋体"/>
                <w:color w:val="auto"/>
                <w:sz w:val="24"/>
                <w:highlight w:val="none"/>
              </w:rPr>
            </w:pPr>
            <w:r>
              <w:rPr>
                <w:rFonts w:hint="eastAsia" w:ascii="仿宋" w:hAnsi="仿宋" w:eastAsia="仿宋" w:cs="宋体"/>
                <w:color w:val="auto"/>
                <w:sz w:val="24"/>
                <w:highlight w:val="none"/>
              </w:rPr>
              <w:t xml:space="preserve">5.处理突发食品安全事件的应急预案（要求见招标文件第四章《评标标准》及第六章《采购需求》；</w:t>
            </w:r>
            <w:r/>
          </w:p>
          <w:p>
            <w:pPr>
              <w:pStyle w:val="1026"/>
              <w:ind w:left="0" w:firstLine="480"/>
              <w:rPr>
                <w:rFonts w:ascii="仿宋" w:hAnsi="仿宋" w:eastAsia="仿宋" w:cs="宋体"/>
                <w:color w:val="auto"/>
                <w:sz w:val="24"/>
                <w:highlight w:val="none"/>
              </w:rPr>
            </w:pPr>
            <w:r>
              <w:rPr>
                <w:rFonts w:ascii="仿宋" w:hAnsi="仿宋" w:eastAsia="仿宋" w:cs="宋体"/>
                <w:color w:val="auto"/>
                <w:sz w:val="24"/>
                <w:highlight w:val="none"/>
              </w:rPr>
              <w:t xml:space="preserve">6.</w:t>
            </w:r>
            <w:r>
              <w:rPr>
                <w:rFonts w:hint="eastAsia" w:ascii="仿宋" w:hAnsi="仿宋" w:eastAsia="仿宋" w:cs="宋体"/>
                <w:color w:val="auto"/>
                <w:sz w:val="24"/>
                <w:highlight w:val="none"/>
              </w:rPr>
              <w:t xml:space="preserve">紧急勤务保障方案（要求见招标文件第四章《评标标准》及第六章《采购需求》；</w:t>
            </w:r>
            <w:r/>
          </w:p>
          <w:p>
            <w:pPr>
              <w:ind w:firstLine="480"/>
              <w:rPr>
                <w:rFonts w:eastAsia="仿宋"/>
                <w:color w:val="auto"/>
                <w:sz w:val="24"/>
                <w:highlight w:val="none"/>
              </w:rPr>
            </w:pPr>
            <w:r>
              <w:rPr>
                <w:rFonts w:ascii="仿宋" w:hAnsi="仿宋" w:eastAsia="仿宋" w:cs="宋体"/>
                <w:color w:val="auto"/>
                <w:sz w:val="24"/>
                <w:highlight w:val="none"/>
              </w:rPr>
              <w:t xml:space="preserve">7.</w:t>
            </w:r>
            <w:r>
              <w:rPr>
                <w:rFonts w:hint="eastAsia" w:ascii="仿宋" w:hAnsi="仿宋" w:eastAsia="仿宋" w:cs="宋体"/>
                <w:color w:val="auto"/>
                <w:sz w:val="24"/>
                <w:highlight w:val="none"/>
              </w:rPr>
              <w:t xml:space="preserve">退换货承诺方案（要求见招标文件第四章《评标标准》及第六章《采购需求》。</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（二）商务部分</w:t>
            </w:r>
            <w:r/>
          </w:p>
          <w:p>
            <w:pPr>
              <w:pStyle w:val="1027"/>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1.人员配备方案（要求见招标文件第四章《评标标准》及第六章《采购需求》）；</w:t>
            </w:r>
            <w:r/>
          </w:p>
          <w:p>
            <w:pPr>
              <w:pStyle w:val="1027"/>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2.车辆配备方案（要求见招标文件第四章《评标标准》及第六章《采购需求》）；</w:t>
            </w:r>
            <w:r/>
          </w:p>
          <w:p>
            <w:pPr>
              <w:pStyle w:val="1027"/>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3.投标人业绩（要求见招标文件第四章《评标标准》）；</w:t>
            </w:r>
            <w:r/>
          </w:p>
          <w:p>
            <w:pPr>
              <w:pStyle w:val="1027"/>
              <w:ind w:firstLine="48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4.企业实力（要求见招标文件第四章《评标标准》）；</w:t>
            </w:r>
            <w:r/>
          </w:p>
          <w:p>
            <w:pPr>
              <w:pStyle w:val="1009"/>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五、价格折扣文件格式</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无</w:t>
            </w:r>
            <w:r/>
          </w:p>
          <w:p>
            <w:pPr>
              <w:pStyle w:val="1009"/>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注：</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1.投标人应对以上文件的合法性、真实性负责。</w:t>
            </w:r>
            <w:r/>
          </w:p>
          <w:p>
            <w:pPr>
              <w:pStyle w:val="1009"/>
              <w:ind w:firstLine="480"/>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商务条件见：</w:t>
            </w:r>
            <w:r/>
          </w:p>
          <w:p>
            <w:pPr>
              <w:pStyle w:val="1009"/>
              <w:ind w:firstLine="48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1.招标文件第四章《评标标准》中《评审因素细化和量化》</w:t>
            </w:r>
            <w:r/>
          </w:p>
          <w:p>
            <w:pPr>
              <w:pStyle w:val="1009"/>
              <w:ind w:firstLine="480"/>
              <w:rPr>
                <w:rFonts w:ascii="仿宋" w:hAnsi="仿宋" w:eastAsia="仿宋" w:cs="仿宋"/>
                <w:bCs/>
                <w:color w:val="auto"/>
                <w:sz w:val="24"/>
                <w:highlight w:val="none"/>
              </w:rPr>
            </w:pPr>
            <w:r>
              <w:rPr>
                <w:rFonts w:hint="eastAsia" w:ascii="仿宋" w:hAnsi="仿宋" w:eastAsia="仿宋" w:cs="仿宋"/>
                <w:color w:val="auto"/>
                <w:sz w:val="24"/>
                <w:highlight w:val="none"/>
              </w:rPr>
              <w:t xml:space="preserve">2.招标文件第三章《投标资料表》中“十二”</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交货和提供服务的时间见：招标文件第五章 《拟签订的合同文本》及或招标文件第六章《采购需求》。</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本项目</w:t>
            </w:r>
            <w:r>
              <w:rPr>
                <w:rFonts w:hint="eastAsia" w:ascii="仿宋" w:hAnsi="仿宋" w:eastAsia="仿宋" w:cs="仿宋"/>
                <w:color w:val="auto"/>
                <w:sz w:val="24"/>
                <w:highlight w:val="none"/>
              </w:rPr>
              <w:t xml:space="preserve">采购预算金额：</w:t>
            </w:r>
            <w:r>
              <w:rPr>
                <w:rFonts w:hint="eastAsia" w:ascii="仿宋" w:hAnsi="仿宋" w:eastAsia="仿宋" w:cs="仿宋"/>
                <w:color w:val="auto"/>
                <w:sz w:val="24"/>
                <w:highlight w:val="none"/>
                <w:lang w:val="en-US" w:eastAsia="zh-CN"/>
              </w:rPr>
              <w:t xml:space="preserve">120</w:t>
            </w:r>
            <w:r>
              <w:rPr>
                <w:rFonts w:hint="eastAsia" w:ascii="仿宋" w:hAnsi="仿宋" w:eastAsia="仿宋" w:cs="仿宋"/>
                <w:color w:val="auto"/>
                <w:sz w:val="24"/>
                <w:highlight w:val="none"/>
              </w:rPr>
              <w:t xml:space="preserve">万元（人民币）。</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以人民币报价。</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线上投标要求：</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投标人应当通过“苏采云”系统提交数据电文形式的投标文件（即电子投标）。</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特别说明：通过“苏采云”系统提交政府采购客户端工具导出加密的投标文件（后缀名为zip）。投标文件不得超过350M（具体以“苏采云”系统规定为准）！</w:t>
            </w:r>
            <w:r/>
          </w:p>
          <w:p>
            <w:pPr>
              <w:pStyle w:val="1009"/>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说明：本项目通过“苏采云”系统进行电子采购，即供应商投标文件从政府采购客户端工具制作通过“苏采云”系统提交，未提供线上投标文件并解密(因“苏采云”系统导致解密失败的除外)的，投标无效。</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线上投标文件的密封、签署、盖章要求：</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1.投标文件的密封（加密）要求：</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2.投标文件的签署要求：见招标文件第七章《投标文件相关格式》。</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3.投标文件的盖章要求：见招标文件第三章《投标资料表》和招标文件第七章《投标文件相关格式》。投标人须通过“苏采云”系统提供的政府采购客户端工具（使用“CA数字证书”）加盖电子签章。</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说明：投标人应准备CA数字证书以及自备的能够登录“苏采云”系统的电脑，在达到开标时间后，使用CA数字证书解密各自投标文件。</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“苏采云”系统拒收未按规定加密的投标文件。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投标文件的提交与接收： </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1.投标文件提交与接收时间：</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线上提交与接收时间：提交投标文件截止时间（</w:t>
            </w:r>
            <w:r>
              <w:rPr>
                <w:rFonts w:hint="eastAsia" w:ascii="仿宋" w:hAnsi="仿宋" w:eastAsia="仿宋" w:cs="仿宋"/>
                <w:color w:val="auto"/>
                <w:sz w:val="24"/>
                <w:highlight w:val="none"/>
                <w:lang w:eastAsia="zh-CN"/>
              </w:rPr>
              <w:t xml:space="preserve">2025年12月17日</w:t>
            </w:r>
            <w:r>
              <w:rPr>
                <w:rFonts w:hint="eastAsia" w:ascii="仿宋" w:hAnsi="仿宋" w:eastAsia="仿宋" w:cs="仿宋"/>
                <w:color w:val="auto"/>
                <w:sz w:val="24"/>
                <w:highlight w:val="none"/>
              </w:rPr>
              <w:t xml:space="preserve">北京时间9：30）前。</w:t>
            </w:r>
            <w:r/>
          </w:p>
          <w:p>
            <w:pPr>
              <w:pStyle w:val="1009"/>
              <w:numPr>
                <w:ilvl w:val="0"/>
                <w:numId w:val="7"/>
              </w:num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投标截止时间</w:t>
            </w:r>
            <w:r>
              <w:rPr>
                <w:rFonts w:hint="eastAsia" w:ascii="仿宋" w:hAnsi="仿宋" w:eastAsia="仿宋" w:cs="仿宋"/>
                <w:color w:val="auto"/>
                <w:sz w:val="24"/>
                <w:highlight w:val="none"/>
                <w:lang w:eastAsia="zh-CN"/>
              </w:rPr>
              <w:t xml:space="preserve">2025年12月17日</w:t>
            </w:r>
            <w:r>
              <w:rPr>
                <w:rFonts w:hint="eastAsia" w:ascii="仿宋" w:hAnsi="仿宋" w:eastAsia="仿宋" w:cs="仿宋"/>
                <w:color w:val="auto"/>
                <w:sz w:val="24"/>
                <w:highlight w:val="none"/>
              </w:rPr>
              <w:t xml:space="preserve">北京时间9：30。</w:t>
            </w:r>
            <w:r/>
          </w:p>
          <w:p>
            <w:pPr>
              <w:pStyle w:val="1009"/>
              <w:numPr>
                <w:ilvl w:val="0"/>
                <w:numId w:val="7"/>
              </w:num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电子投标文件应由其法定代表人或法定代表人授权代表在规定的网上投标时间内，凭CA证书登陆“苏采云”系统在线编制投标文件（电子数据），并在投标截止时间之前上传投标文件。</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四、开标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jc w:val="cente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(二十一)</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lang w:bidi="en-US"/>
              </w:rPr>
            </w:pPr>
            <w:r>
              <w:rPr>
                <w:rFonts w:hint="eastAsia" w:ascii="仿宋" w:hAnsi="仿宋" w:eastAsia="仿宋" w:cs="仿宋"/>
                <w:color w:val="auto"/>
                <w:sz w:val="24"/>
                <w:highlight w:val="none"/>
                <w:lang w:bidi="en-US"/>
              </w:rPr>
              <w:t xml:space="preserve">开标时间及地点：</w:t>
            </w:r>
            <w:r/>
          </w:p>
          <w:p>
            <w:pPr>
              <w:pStyle w:val="1009"/>
              <w:ind w:firstLine="480"/>
              <w:rPr>
                <w:rFonts w:ascii="仿宋" w:hAnsi="仿宋" w:eastAsia="仿宋" w:cs="仿宋"/>
                <w:color w:val="auto"/>
                <w:sz w:val="24"/>
                <w:highlight w:val="none"/>
                <w:lang w:bidi="en-US"/>
              </w:rPr>
            </w:pPr>
            <w:r>
              <w:rPr>
                <w:rFonts w:hint="eastAsia" w:ascii="仿宋" w:hAnsi="仿宋" w:eastAsia="仿宋" w:cs="仿宋"/>
                <w:color w:val="auto"/>
                <w:sz w:val="24"/>
                <w:highlight w:val="none"/>
                <w:lang w:bidi="en-US"/>
              </w:rPr>
              <w:t xml:space="preserve">1.开标时间：</w:t>
            </w:r>
            <w:r>
              <w:rPr>
                <w:rFonts w:hint="eastAsia" w:ascii="仿宋" w:hAnsi="仿宋" w:eastAsia="仿宋" w:cs="仿宋"/>
                <w:color w:val="auto"/>
                <w:sz w:val="24"/>
                <w:highlight w:val="none"/>
                <w:lang w:eastAsia="zh-CN"/>
              </w:rPr>
              <w:t xml:space="preserve">2025年12月17日</w:t>
            </w:r>
            <w:r>
              <w:rPr>
                <w:rFonts w:hint="eastAsia" w:ascii="仿宋" w:hAnsi="仿宋" w:eastAsia="仿宋" w:cs="仿宋"/>
                <w:color w:val="auto"/>
                <w:sz w:val="24"/>
                <w:highlight w:val="none"/>
                <w:lang w:bidi="en-US"/>
              </w:rPr>
              <w:t xml:space="preserve">9：30（北京时间）</w:t>
            </w:r>
            <w:r/>
          </w:p>
          <w:p>
            <w:pPr>
              <w:pStyle w:val="1009"/>
              <w:ind w:firstLine="480"/>
              <w:jc w:val="left"/>
              <w:rPr>
                <w:rFonts w:ascii="仿宋" w:hAnsi="仿宋" w:eastAsia="仿宋" w:cs="仿宋"/>
                <w:color w:val="auto"/>
                <w:sz w:val="24"/>
                <w:highlight w:val="none"/>
                <w:lang w:bidi="en-US"/>
              </w:rPr>
            </w:pPr>
            <w:r>
              <w:rPr>
                <w:rFonts w:hint="eastAsia" w:ascii="仿宋" w:hAnsi="仿宋" w:eastAsia="仿宋" w:cs="仿宋"/>
                <w:color w:val="auto"/>
                <w:sz w:val="24"/>
                <w:highlight w:val="none"/>
                <w:lang w:bidi="en-US"/>
              </w:rPr>
              <w:t xml:space="preserve">2.开标地点：</w:t>
            </w:r>
            <w:r/>
          </w:p>
          <w:p>
            <w:pPr>
              <w:pStyle w:val="1009"/>
              <w:ind w:firstLine="480"/>
              <w:jc w:val="left"/>
              <w:rPr>
                <w:rFonts w:ascii="仿宋" w:hAnsi="仿宋" w:eastAsia="仿宋" w:cs="仿宋"/>
                <w:color w:val="auto"/>
                <w:sz w:val="24"/>
                <w:highlight w:val="none"/>
                <w:lang w:bidi="en-US"/>
              </w:rPr>
            </w:pPr>
            <w:r>
              <w:rPr>
                <w:rFonts w:hint="eastAsia" w:ascii="仿宋" w:hAnsi="仿宋" w:eastAsia="仿宋" w:cs="仿宋"/>
                <w:color w:val="auto"/>
                <w:sz w:val="24"/>
                <w:highlight w:val="none"/>
                <w:lang w:bidi="en-US"/>
              </w:rPr>
              <w:t xml:space="preserve">线上地点：“苏采云”系统（网址： http://jszfcg.jsczt.cn/）“开标大厅”或进入徐州政府采购网（网址：http://czj.xz.gov.cn/Home/HomeIndex）--业务工作--采购人登录，点击“苏采云”进入系统“开标大厅”。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（二十二）</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线上开标时，“苏采云”系统自动提取所有投标文件，投标人按招标文件规定方式按时在线解密。本项目招标文件规定的投标人按时在线解密方式：截至本公告发布之日“苏采云”系统解密时间为</w:t>
            </w:r>
            <w:r>
              <w:rPr>
                <w:rFonts w:hint="eastAsia" w:ascii="仿宋" w:hAnsi="仿宋" w:eastAsia="仿宋" w:cs="仿宋"/>
                <w:b/>
                <w:bCs/>
                <w:color w:val="auto"/>
                <w:sz w:val="24"/>
                <w:highlight w:val="none"/>
              </w:rPr>
              <w:t xml:space="preserve">开标时间后30分钟内，</w:t>
            </w:r>
            <w:r>
              <w:rPr>
                <w:rFonts w:hint="eastAsia" w:ascii="仿宋" w:hAnsi="仿宋" w:eastAsia="仿宋" w:cs="仿宋"/>
                <w:color w:val="auto"/>
                <w:sz w:val="24"/>
                <w:highlight w:val="none"/>
              </w:rPr>
              <w:t xml:space="preserve">请投标人务必在开标时间内时刻关注“苏采云”系统，在“苏采云”系统规定的解密时间内，通过“苏采云”系统（使用“CA数字证书”）解密，投标人因自身原因未及时查看“苏采云”系统提示，而导致未及时解密的，采购人及代理机构不承担任何责任。</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五、评标</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（二十三）</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2"/>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本项目的评标方法：综合评分法。</w:t>
            </w:r>
            <w:r/>
          </w:p>
        </w:tc>
      </w:tr>
      <w:tr>
        <w:trPr>
          <w:trHeight w:val="130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（二十四）</w:t>
            </w:r>
            <w:r/>
          </w:p>
          <w:p>
            <w:pPr>
              <w:pStyle w:val="1009"/>
              <w:jc w:val="cente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一、推荐中标候选供应商名单。中标候选供应商数量应当根据采购需要确定，但必须按顺序排列中标候选供应商。</w:t>
            </w:r>
            <w:r/>
          </w:p>
          <w:p>
            <w:pPr>
              <w:pStyle w:val="1009"/>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二、采用综合评分法的，按评审后得分由高到低顺序排列。得分相同的，按投标报价由低到高顺序排列。得分且投标报价相同的，按技术部分得分顺序排列。</w:t>
            </w:r>
            <w:r/>
          </w:p>
        </w:tc>
      </w:tr>
      <w:tr>
        <w:trPr>
          <w:trHeight w:val="90"/>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1.评标中需要投标人对投标文件澄清或者说明的，应当通过“苏采云”系统交换数据电文。</w:t>
            </w:r>
            <w:r>
              <w:rPr>
                <w:rFonts w:hint="eastAsia" w:ascii="仿宋" w:hAnsi="仿宋" w:eastAsia="仿宋" w:cs="仿宋"/>
                <w:b/>
                <w:bCs/>
                <w:color w:val="auto"/>
                <w:sz w:val="24"/>
                <w:highlight w:val="none"/>
              </w:rPr>
              <w:t xml:space="preserve">在评标期间，请投标人保持在线</w:t>
            </w:r>
            <w:r>
              <w:rPr>
                <w:rFonts w:hint="eastAsia" w:ascii="仿宋" w:hAnsi="仿宋" w:eastAsia="仿宋" w:cs="仿宋"/>
                <w:color w:val="auto"/>
                <w:sz w:val="24"/>
                <w:highlight w:val="none"/>
              </w:rPr>
              <w:t xml:space="preserve">。</w:t>
            </w:r>
            <w:r/>
          </w:p>
          <w:p>
            <w:pPr>
              <w:pStyle w:val="1009"/>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1009"/>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szCs w:val="24"/>
                <w:highlight w:val="none"/>
              </w:rPr>
              <w:t xml:space="preserve">评标委员会启动异常低价投标审查的情形和具体要求，包括:</w:t>
            </w:r>
            <w:r/>
          </w:p>
          <w:p>
            <w:pPr>
              <w:ind w:firstLine="746"/>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1.评审过程中出现下列情形之一的，评标委员会应当启动异常低价投标审查程序：</w:t>
            </w:r>
            <w:r/>
          </w:p>
          <w:p>
            <w:pPr>
              <w:ind w:firstLine="746"/>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（1）投标报价低于采购项目预算50%的，即投标报价&lt;采购项目预算×50%；</w:t>
            </w:r>
            <w:r/>
          </w:p>
          <w:p>
            <w:pPr>
              <w:ind w:firstLine="746"/>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（2）投标报价低于采购项目最高限价45%的，即投标报价&lt;采购项目最高限价×45%；</w:t>
            </w:r>
            <w:r/>
          </w:p>
          <w:p>
            <w:pPr>
              <w:ind w:firstLine="746"/>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（3）评标委员会认定的投标人报价过低、有可能影响产品质量或者不能诚信履约的其他情形。</w:t>
            </w:r>
            <w:r/>
          </w:p>
          <w:p>
            <w:pPr>
              <w:pStyle w:val="1009"/>
              <w:ind w:firstLine="482"/>
              <w:jc w:val="left"/>
              <w:widowControl/>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2.启动异常低价投标审查后，评标委员会应当通过“苏采云”系统要求相关投标人在合理的时间内，提供</w:t>
            </w:r>
            <w:r>
              <w:rPr>
                <w:rFonts w:hint="eastAsia" w:ascii="仿宋" w:hAnsi="仿宋" w:eastAsia="仿宋" w:cs="仿宋"/>
                <w:b/>
                <w:bCs/>
                <w:color w:val="auto"/>
                <w:sz w:val="24"/>
                <w:szCs w:val="24"/>
                <w:highlight w:val="none"/>
                <w:lang w:val="en-US" w:eastAsia="zh-CN" w:bidi="ar-SA"/>
              </w:rPr>
              <w:t xml:space="preserve">项目具体成本测算等与报价合理性相关的书面说明及相关证明材料</w:t>
            </w:r>
            <w:r>
              <w:rPr>
                <w:rFonts w:hint="eastAsia" w:ascii="仿宋" w:hAnsi="仿宋" w:eastAsia="仿宋" w:cs="仿宋"/>
                <w:b w:val="0"/>
                <w:bCs w:val="0"/>
                <w:color w:val="auto"/>
                <w:sz w:val="24"/>
                <w:szCs w:val="24"/>
                <w:highlight w:val="none"/>
                <w:lang w:val="en-US" w:eastAsia="zh-CN" w:bidi="ar-SA"/>
              </w:rPr>
              <w:t xml:space="preserve">，对投标价格作出解释，由评标委员会</w:t>
            </w:r>
            <w:r>
              <w:rPr>
                <w:rFonts w:hint="eastAsia" w:ascii="仿宋" w:hAnsi="仿宋" w:eastAsia="仿宋" w:cs="仿宋"/>
                <w:b/>
                <w:bCs/>
                <w:color w:val="auto"/>
                <w:sz w:val="24"/>
                <w:szCs w:val="24"/>
                <w:highlight w:val="none"/>
                <w:lang w:val="en-US" w:eastAsia="zh-CN" w:bidi="ar-SA"/>
              </w:rPr>
              <w:t xml:space="preserve">结合同类产品在主要电商平台的价格、该行业当地薪资水平等情况</w:t>
            </w:r>
            <w:r>
              <w:rPr>
                <w:rFonts w:hint="eastAsia" w:ascii="仿宋" w:hAnsi="仿宋" w:eastAsia="仿宋" w:cs="仿宋"/>
                <w:b w:val="0"/>
                <w:bCs w:val="0"/>
                <w:color w:val="auto"/>
                <w:sz w:val="24"/>
                <w:szCs w:val="24"/>
                <w:highlight w:val="none"/>
                <w:lang w:val="en-US" w:eastAsia="zh-CN" w:bidi="ar-SA"/>
              </w:rPr>
              <w:t xml:space="preserve">，依据专业经验对投标人报价合理性进行判断。投标人说明应当采用通过“苏采云”系统（使用“CA数字证书”,加盖电子签章）形式。投标人</w:t>
            </w:r>
            <w:r>
              <w:rPr>
                <w:rFonts w:hint="eastAsia" w:ascii="仿宋" w:hAnsi="仿宋" w:eastAsia="仿宋" w:cs="仿宋"/>
                <w:b/>
                <w:bCs/>
                <w:color w:val="auto"/>
                <w:sz w:val="24"/>
                <w:szCs w:val="24"/>
                <w:highlight w:val="none"/>
                <w:lang w:val="en-US" w:eastAsia="zh-CN" w:bidi="ar-SA"/>
              </w:rPr>
              <w:t xml:space="preserve">不提供书面说明、证明材料，或者提供的书面说明、证明材料不能证明其报价合理性的，评标委员会应当将其作为无效投标处理。审查相关情况应当在评标报告中进行记录</w:t>
            </w:r>
            <w:r>
              <w:rPr>
                <w:rFonts w:hint="eastAsia" w:ascii="仿宋" w:hAnsi="仿宋" w:eastAsia="仿宋" w:cs="仿宋"/>
                <w:b w:val="0"/>
                <w:bCs w:val="0"/>
                <w:color w:val="auto"/>
                <w:sz w:val="24"/>
                <w:szCs w:val="24"/>
                <w:highlight w:val="none"/>
                <w:lang w:val="en-US" w:eastAsia="zh-CN" w:bidi="ar-SA"/>
              </w:rPr>
              <w:t xml:space="preserve">。</w:t>
            </w:r>
            <w:r/>
          </w:p>
          <w:p>
            <w:pPr>
              <w:pStyle w:val="1009"/>
              <w:ind w:firstLine="482"/>
              <w:jc w:val="left"/>
              <w:widowControl/>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六</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jc w:val="center"/>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六、政府采购合同</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采购人与中标、成交供应商应当在中标、成交通知书发出之日起</w:t>
            </w:r>
            <w:r>
              <w:rPr>
                <w:rFonts w:hint="eastAsia" w:ascii="仿宋" w:hAnsi="仿宋" w:eastAsia="仿宋" w:cs="仿宋"/>
                <w:color w:val="auto"/>
                <w:sz w:val="24"/>
                <w:highlight w:val="none"/>
                <w:u w:val="single"/>
              </w:rPr>
              <w:t xml:space="preserve">30</w:t>
            </w:r>
            <w:r>
              <w:rPr>
                <w:rFonts w:hint="eastAsia" w:ascii="仿宋" w:hAnsi="仿宋" w:eastAsia="仿宋" w:cs="仿宋"/>
                <w:color w:val="auto"/>
                <w:sz w:val="24"/>
                <w:highlight w:val="none"/>
              </w:rPr>
              <w:t xml:space="preserve">日内，按照采购文件确定的事项签订采购合同。</w:t>
            </w:r>
            <w:r/>
          </w:p>
        </w:tc>
      </w:tr>
      <w:tr>
        <w:trPr>
          <w:trHeight w:val="336"/>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（二十八）</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1011"/>
              <w:ind w:firstLine="480"/>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履约保证金：详见第五章《拟签订的合同文本》</w:t>
            </w:r>
            <w:r/>
          </w:p>
        </w:tc>
      </w:tr>
      <w:tr>
        <w:trPr>
          <w:trHeight w:val="398"/>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八</w:t>
            </w:r>
            <w:r/>
          </w:p>
        </w:tc>
        <w:tc>
          <w:tcPr>
            <w:tcBorders>
              <w:top w:val="single" w:color="000000" w:sz="4" w:space="0"/>
              <w:left w:val="single" w:color="000000" w:sz="4" w:space="0"/>
              <w:bottom w:val="single" w:color="000000" w:sz="4" w:space="0"/>
              <w:right w:val="single" w:color="000000" w:sz="4" w:space="0"/>
            </w:tcBorders>
            <w:tcW w:w="8207" w:type="dxa"/>
            <w:vAlign w:val="center"/>
            <w:textDirection w:val="lrTb"/>
            <w:noWrap w:val="false"/>
          </w:tcPr>
          <w:p>
            <w:pPr>
              <w:pStyle w:val="1009"/>
              <w:ind w:firstLine="562"/>
              <w:jc w:val="center"/>
              <w:rPr>
                <w:rFonts w:ascii="仿宋" w:hAnsi="仿宋" w:eastAsia="仿宋" w:cs="仿宋"/>
                <w:color w:val="auto"/>
                <w:sz w:val="24"/>
                <w:highlight w:val="none"/>
              </w:rPr>
            </w:pPr>
            <w:r>
              <w:rPr>
                <w:rFonts w:hint="eastAsia" w:ascii="仿宋" w:hAnsi="仿宋" w:eastAsia="仿宋" w:cs="仿宋"/>
                <w:b/>
                <w:color w:val="auto"/>
                <w:sz w:val="24"/>
                <w:highlight w:val="none"/>
              </w:rPr>
              <w:t xml:space="preserve">八、询问和质疑</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（二十九）</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供应商在法定质疑期内一次性提出针对同一采购程序环节的质疑。</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质疑接收人：李昆</w:t>
            </w:r>
            <w:r>
              <w:rPr>
                <w:rFonts w:hint="eastAsia" w:ascii="仿宋" w:hAnsi="仿宋" w:eastAsia="仿宋" w:cs="仿宋"/>
                <w:color w:val="auto"/>
                <w:sz w:val="24"/>
                <w:highlight w:val="none"/>
                <w:lang w:bidi="en-US"/>
              </w:rPr>
              <w:t xml:space="preserve"> </w:t>
            </w:r>
            <w:r>
              <w:rPr>
                <w:rFonts w:hint="eastAsia" w:ascii="仿宋" w:hAnsi="仿宋" w:eastAsia="仿宋" w:cs="仿宋"/>
                <w:color w:val="auto"/>
                <w:sz w:val="24"/>
                <w:highlight w:val="none"/>
              </w:rPr>
              <w:t xml:space="preserve">   联系电话：</w:t>
            </w:r>
            <w:r>
              <w:rPr>
                <w:rFonts w:hint="eastAsia" w:ascii="仿宋" w:hAnsi="仿宋" w:eastAsia="仿宋" w:cs="仿宋"/>
                <w:color w:val="auto"/>
                <w:sz w:val="24"/>
                <w:highlight w:val="none"/>
                <w:lang w:bidi="en-US"/>
              </w:rPr>
              <w:t xml:space="preserve">15152460601</w:t>
            </w:r>
            <w:r/>
          </w:p>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w:t>
            </w:r>
            <w:r>
              <w:rPr>
                <w:rFonts w:hint="eastAsia" w:ascii="仿宋" w:hAnsi="仿宋" w:eastAsia="仿宋" w:cs="仿宋"/>
                <w:color w:val="auto"/>
                <w:sz w:val="24"/>
                <w:highlight w:val="none"/>
                <w:lang w:bidi="en-US"/>
              </w:rPr>
              <w:t xml:space="preserve">徐州市新城区中茵广场3栋二楼218</w:t>
            </w:r>
            <w:r/>
          </w:p>
        </w:tc>
      </w:tr>
      <w:tr>
        <w:trPr/>
        <w:tc>
          <w:tcPr>
            <w:tcBorders>
              <w:top w:val="single" w:color="000000" w:sz="4" w:space="0"/>
              <w:left w:val="single" w:color="000000" w:sz="4" w:space="0"/>
              <w:bottom w:val="single" w:color="000000" w:sz="4" w:space="0"/>
              <w:right w:val="single" w:color="000000" w:sz="4" w:space="0"/>
            </w:tcBorders>
            <w:tcW w:w="1368" w:type="dxa"/>
            <w:textDirection w:val="lrTb"/>
            <w:noWrap w:val="false"/>
          </w:tcPr>
          <w:p>
            <w:pPr>
              <w:pStyle w:val="1009"/>
              <w:jc w:val="center"/>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207" w:type="dxa"/>
            <w:textDirection w:val="lrTb"/>
            <w:noWrap w:val="false"/>
          </w:tcPr>
          <w:p>
            <w:pPr>
              <w:pStyle w:val="1009"/>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中标人在收到中标通知书时，须向采购代理机构提交《开标一览表》和《分项价格表》的数据文件（WORD格式）。</w:t>
            </w:r>
            <w:r/>
          </w:p>
        </w:tc>
      </w:tr>
    </w:tbl>
    <w:p>
      <w:pPr>
        <w:pStyle w:val="1009"/>
        <w:rPr>
          <w:rFonts w:ascii="仿宋" w:hAnsi="仿宋" w:eastAsia="仿宋" w:cs="仿宋"/>
          <w:b/>
          <w:color w:val="auto"/>
          <w:sz w:val="24"/>
          <w:highlight w:val="none"/>
        </w:rPr>
        <w:sectPr>
          <w:footerReference w:type="default" r:id="rId13"/>
          <w:footnotePr/>
          <w:endnotePr/>
          <w:type w:val="nextPage"/>
          <w:pgSz w:w="11906" w:h="16838" w:orient="portrait"/>
          <w:pgMar w:top="1304" w:right="1361" w:bottom="1304" w:left="1361" w:header="737" w:footer="992" w:gutter="0"/>
          <w:pgNumType w:start="1"/>
          <w:cols w:num="1" w:sep="0" w:space="1701" w:equalWidth="1"/>
          <w:docGrid w:linePitch="360"/>
        </w:sectPr>
      </w:pPr>
      <w:r>
        <w:rPr>
          <w:rFonts w:ascii="仿宋" w:hAnsi="仿宋" w:eastAsia="仿宋" w:cs="仿宋"/>
          <w:b/>
          <w:color w:val="auto"/>
          <w:sz w:val="24"/>
          <w:highlight w:val="none"/>
        </w:rPr>
      </w:r>
      <w:r/>
    </w:p>
    <w:p>
      <w:pPr>
        <w:pStyle w:val="1009"/>
        <w:ind w:firstLine="562"/>
        <w:jc w:val="left"/>
        <w:spacing w:line="40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附件：</w:t>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招标代理服务收费标准</w:t>
      </w:r>
      <w:r/>
    </w:p>
    <w:p>
      <w:pPr>
        <w:jc w:val="center"/>
        <w:rPr>
          <w:rFonts w:hint="eastAsia" w:ascii="仿宋" w:hAnsi="仿宋" w:eastAsia="仿宋" w:cs="仿宋"/>
          <w:b/>
          <w:sz w:val="28"/>
          <w:szCs w:val="28"/>
          <w:highlight w:val="none"/>
        </w:rPr>
      </w:pPr>
      <w:r>
        <w:rPr>
          <w:rFonts w:hint="eastAsia" w:ascii="仿宋" w:hAnsi="仿宋" w:eastAsia="仿宋" w:cs="仿宋"/>
          <w:b/>
          <w:sz w:val="28"/>
          <w:szCs w:val="28"/>
          <w:highlight w:val="none"/>
        </w:rPr>
      </w:r>
      <w:r/>
    </w:p>
    <w:tbl>
      <w:tblPr>
        <w:tblStyle w:val="816"/>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 xml:space="preserve">中标</w:t>
            </w:r>
            <w:r>
              <w:rPr>
                <w:rFonts w:hint="eastAsia" w:ascii="仿宋" w:hAnsi="仿宋" w:eastAsia="仿宋" w:cs="仿宋"/>
                <w:b w:val="0"/>
                <w:bCs w:val="0"/>
                <w:sz w:val="24"/>
                <w:szCs w:val="24"/>
                <w:highlight w:val="none"/>
                <w:lang w:eastAsia="zh-CN"/>
              </w:rPr>
              <w:t xml:space="preserve">或者成交</w:t>
            </w:r>
            <w:r>
              <w:rPr>
                <w:rFonts w:hint="eastAsia" w:ascii="仿宋" w:hAnsi="仿宋" w:eastAsia="仿宋" w:cs="仿宋"/>
                <w:b w:val="0"/>
                <w:bCs w:val="0"/>
                <w:sz w:val="24"/>
                <w:szCs w:val="24"/>
                <w:highlight w:val="none"/>
              </w:rPr>
              <w:t xml:space="preserve">金额</w:t>
            </w:r>
            <w:r/>
          </w:p>
        </w:tc>
        <w:tc>
          <w:tcPr>
            <w:tcBorders>
              <w:top w:val="single" w:color="auto" w:sz="4" w:space="0"/>
            </w:tcBorders>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费</w:t>
            </w:r>
            <w:r>
              <w:rPr>
                <w:rFonts w:hint="eastAsia" w:ascii="仿宋" w:hAnsi="仿宋" w:eastAsia="仿宋" w:cs="仿宋"/>
                <w:b w:val="0"/>
                <w:bCs w:val="0"/>
                <w:sz w:val="24"/>
                <w:szCs w:val="24"/>
                <w:highlight w:val="none"/>
                <w:lang w:val="en-US" w:eastAsia="zh-CN"/>
              </w:rPr>
              <w:t xml:space="preserve"> </w:t>
            </w:r>
            <w:r>
              <w:rPr>
                <w:rFonts w:hint="eastAsia" w:ascii="仿宋" w:hAnsi="仿宋" w:eastAsia="仿宋" w:cs="仿宋"/>
                <w:b w:val="0"/>
                <w:bCs w:val="0"/>
                <w:sz w:val="24"/>
                <w:szCs w:val="24"/>
                <w:highlight w:val="none"/>
                <w:lang w:eastAsia="zh-CN"/>
              </w:rPr>
              <w:t xml:space="preserve">率</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 xml:space="preserve">最低收费金额（每个委托项目）</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5000元</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50万元以下（含50万元）</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50-400万元（含400万元）</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1.5</w:t>
            </w:r>
            <w:r>
              <w:rPr>
                <w:rFonts w:hint="eastAsia" w:ascii="仿宋" w:hAnsi="仿宋" w:eastAsia="仿宋" w:cs="仿宋"/>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400-1000万元（含1000万元）</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1.1</w:t>
            </w:r>
            <w:r>
              <w:rPr>
                <w:rFonts w:hint="eastAsia" w:ascii="仿宋" w:hAnsi="仿宋" w:eastAsia="仿宋" w:cs="仿宋"/>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1000-5000万元（含5000万元）</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0.8</w:t>
            </w:r>
            <w:r>
              <w:rPr>
                <w:rFonts w:hint="eastAsia" w:ascii="仿宋" w:hAnsi="仿宋" w:eastAsia="仿宋" w:cs="仿宋"/>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5000-</w:t>
            </w:r>
            <w:r>
              <w:rPr>
                <w:rFonts w:hint="eastAsia" w:ascii="仿宋" w:hAnsi="仿宋" w:eastAsia="仿宋" w:cs="仿宋"/>
                <w:sz w:val="24"/>
                <w:szCs w:val="24"/>
                <w:highlight w:val="none"/>
              </w:rPr>
              <w:t xml:space="preserve">1亿</w:t>
            </w:r>
            <w:r>
              <w:rPr>
                <w:rFonts w:hint="eastAsia" w:ascii="仿宋" w:hAnsi="仿宋" w:eastAsia="仿宋" w:cs="仿宋"/>
                <w:sz w:val="24"/>
                <w:szCs w:val="24"/>
                <w:highlight w:val="none"/>
                <w:lang w:eastAsia="zh-CN"/>
              </w:rPr>
              <w:t xml:space="preserve">元</w:t>
            </w:r>
            <w:r>
              <w:rPr>
                <w:rFonts w:hint="eastAsia" w:ascii="仿宋" w:hAnsi="仿宋" w:eastAsia="仿宋" w:cs="仿宋"/>
                <w:sz w:val="24"/>
                <w:szCs w:val="24"/>
                <w:highlight w:val="none"/>
                <w:lang w:val="en-US" w:eastAsia="zh-CN"/>
              </w:rPr>
              <w:t xml:space="preserve">（含</w:t>
            </w:r>
            <w:r>
              <w:rPr>
                <w:rFonts w:hint="eastAsia" w:ascii="仿宋" w:hAnsi="仿宋" w:eastAsia="仿宋" w:cs="仿宋"/>
                <w:sz w:val="24"/>
                <w:szCs w:val="24"/>
                <w:highlight w:val="none"/>
              </w:rPr>
              <w:t xml:space="preserve">1亿</w:t>
            </w:r>
            <w:r>
              <w:rPr>
                <w:rFonts w:hint="eastAsia" w:ascii="仿宋" w:hAnsi="仿宋" w:eastAsia="仿宋" w:cs="仿宋"/>
                <w:sz w:val="24"/>
                <w:szCs w:val="24"/>
                <w:highlight w:val="none"/>
                <w:lang w:val="en-US" w:eastAsia="zh-CN"/>
              </w:rPr>
              <w:t xml:space="preserve">元）</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10亿</w:t>
            </w:r>
            <w:r>
              <w:rPr>
                <w:rFonts w:hint="eastAsia" w:ascii="仿宋" w:hAnsi="仿宋" w:eastAsia="仿宋" w:cs="仿宋"/>
                <w:sz w:val="24"/>
                <w:szCs w:val="24"/>
                <w:highlight w:val="none"/>
                <w:lang w:eastAsia="zh-CN"/>
              </w:rPr>
              <w:t xml:space="preserve">元</w:t>
            </w:r>
            <w:r>
              <w:rPr>
                <w:rFonts w:hint="eastAsia" w:ascii="仿宋" w:hAnsi="仿宋" w:eastAsia="仿宋" w:cs="仿宋"/>
                <w:sz w:val="24"/>
                <w:szCs w:val="24"/>
                <w:highlight w:val="none"/>
                <w:lang w:val="en-US" w:eastAsia="zh-CN"/>
              </w:rPr>
              <w:t xml:space="preserve">（含</w:t>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lang w:val="en-US" w:eastAsia="zh-CN"/>
              </w:rPr>
              <w:t xml:space="preserve">0</w:t>
            </w:r>
            <w:r>
              <w:rPr>
                <w:rFonts w:hint="eastAsia" w:ascii="仿宋" w:hAnsi="仿宋" w:eastAsia="仿宋" w:cs="仿宋"/>
                <w:sz w:val="24"/>
                <w:szCs w:val="24"/>
                <w:highlight w:val="none"/>
              </w:rPr>
              <w:t xml:space="preserve">亿</w:t>
            </w:r>
            <w:r>
              <w:rPr>
                <w:rFonts w:hint="eastAsia" w:ascii="仿宋" w:hAnsi="仿宋" w:eastAsia="仿宋" w:cs="仿宋"/>
                <w:sz w:val="24"/>
                <w:szCs w:val="24"/>
                <w:highlight w:val="none"/>
                <w:lang w:val="en-US" w:eastAsia="zh-CN"/>
              </w:rPr>
              <w:t xml:space="preserve">元）</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0.05%</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10</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50亿</w:t>
            </w:r>
            <w:r>
              <w:rPr>
                <w:rFonts w:hint="eastAsia" w:ascii="仿宋" w:hAnsi="仿宋" w:eastAsia="仿宋" w:cs="仿宋"/>
                <w:sz w:val="24"/>
                <w:szCs w:val="24"/>
                <w:highlight w:val="none"/>
                <w:lang w:eastAsia="zh-CN"/>
              </w:rPr>
              <w:t xml:space="preserve">元</w:t>
            </w:r>
            <w:r>
              <w:rPr>
                <w:rFonts w:hint="eastAsia" w:ascii="仿宋" w:hAnsi="仿宋" w:eastAsia="仿宋" w:cs="仿宋"/>
                <w:sz w:val="24"/>
                <w:szCs w:val="24"/>
                <w:highlight w:val="none"/>
                <w:lang w:val="en-US" w:eastAsia="zh-CN"/>
              </w:rPr>
              <w:t xml:space="preserve">（含50</w:t>
            </w:r>
            <w:r>
              <w:rPr>
                <w:rFonts w:hint="eastAsia" w:ascii="仿宋" w:hAnsi="仿宋" w:eastAsia="仿宋" w:cs="仿宋"/>
                <w:sz w:val="24"/>
                <w:szCs w:val="24"/>
                <w:highlight w:val="none"/>
              </w:rPr>
              <w:t xml:space="preserve">亿</w:t>
            </w:r>
            <w:r>
              <w:rPr>
                <w:rFonts w:hint="eastAsia" w:ascii="仿宋" w:hAnsi="仿宋" w:eastAsia="仿宋" w:cs="仿宋"/>
                <w:sz w:val="24"/>
                <w:szCs w:val="24"/>
                <w:highlight w:val="none"/>
                <w:lang w:val="en-US" w:eastAsia="zh-CN"/>
              </w:rPr>
              <w:t xml:space="preserve">元）</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w:t>
            </w:r>
            <w:r/>
          </w:p>
        </w:tc>
      </w:tr>
      <w:tr>
        <w:trPr>
          <w:jc w:val="center"/>
          <w:trHeight w:val="567"/>
        </w:trPr>
        <w:tc>
          <w:tcPr>
            <w:tcW w:w="4990"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50</w:t>
            </w:r>
            <w:r>
              <w:rPr>
                <w:rFonts w:hint="eastAsia" w:ascii="仿宋" w:hAnsi="仿宋" w:eastAsia="仿宋" w:cs="仿宋"/>
                <w:sz w:val="24"/>
                <w:szCs w:val="24"/>
                <w:highlight w:val="none"/>
                <w:lang w:eastAsia="zh-CN"/>
              </w:rPr>
              <w:t xml:space="preserve">亿元</w:t>
            </w:r>
            <w:r>
              <w:rPr>
                <w:rFonts w:hint="eastAsia" w:ascii="仿宋" w:hAnsi="仿宋" w:eastAsia="仿宋" w:cs="仿宋"/>
                <w:sz w:val="24"/>
                <w:szCs w:val="24"/>
                <w:highlight w:val="none"/>
              </w:rPr>
              <w:t xml:space="preserve">以上</w:t>
            </w:r>
            <w:r/>
          </w:p>
        </w:tc>
        <w:tc>
          <w:tcPr>
            <w:tcW w:w="3382" w:type="dxa"/>
            <w:vAlign w:val="center"/>
            <w:textDirection w:val="lrTb"/>
            <w:noWrap w:val="false"/>
          </w:tcPr>
          <w:p>
            <w:pPr>
              <w:ind w:left="0" w:firstLine="0"/>
              <w:jc w:val="center"/>
              <w:spacing w:before="100" w:beforeAutospacing="1" w:after="100" w:afterAutospacing="1" w:line="240" w:lineRule="auto"/>
              <w:widowControl/>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0.00</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w:t>
            </w:r>
            <w:r/>
          </w:p>
        </w:tc>
      </w:tr>
    </w:tbl>
    <w:p>
      <w:pPr>
        <w:ind w:firstLine="480"/>
        <w:rPr>
          <w:rFonts w:hint="eastAsia" w:ascii="仿宋" w:hAnsi="仿宋" w:eastAsia="仿宋" w:cs="仿宋"/>
          <w:sz w:val="24"/>
          <w:highlight w:val="none"/>
        </w:rPr>
      </w:pPr>
      <w:r>
        <w:rPr>
          <w:rFonts w:hint="eastAsia" w:ascii="仿宋" w:hAnsi="仿宋" w:eastAsia="仿宋" w:cs="仿宋"/>
          <w:sz w:val="24"/>
          <w:highlight w:val="none"/>
        </w:rPr>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说明：</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1.按上表计算的收费为代理服务全过程的收费金额。各社会代理机构不另外收取采购文件制作售卖费用。</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2.代理服务费按差额定率累进法计算。</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3.代理服务费基准金额（按差额定率累进法计算的）=中标金额（按差额定率累进法计算的）*费率（%）。</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4.代理服务费应收取金额=代理服务费基准金额（按差额定率累进法计算的）的合计数。</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5.定点类等无金额或事先不能计算出价格总额的项目，按中标（成交）金额100万元计算服务费。</w:t>
      </w:r>
      <w:r/>
    </w:p>
    <w:p>
      <w:pPr>
        <w:ind w:firstLine="480"/>
        <w:rPr>
          <w:rFonts w:ascii="仿宋" w:hAnsi="仿宋" w:eastAsia="仿宋" w:cs="仿宋"/>
          <w:sz w:val="24"/>
          <w:highlight w:val="none"/>
        </w:rPr>
      </w:pPr>
      <w:r>
        <w:rPr>
          <w:rFonts w:hint="eastAsia" w:ascii="仿宋" w:hAnsi="仿宋" w:eastAsia="仿宋" w:cs="仿宋"/>
          <w:sz w:val="24"/>
          <w:highlight w:val="none"/>
        </w:rPr>
        <w:t xml:space="preserve">6.有分包（分标段）的按一个项目计算。</w:t>
      </w:r>
      <w:r/>
    </w:p>
    <w:p>
      <w:pPr>
        <w:ind w:firstLine="480"/>
        <w:rPr>
          <w:rFonts w:hint="eastAsia" w:ascii="仿宋" w:hAnsi="仿宋" w:eastAsia="仿宋" w:cs="仿宋"/>
          <w:color w:val="auto"/>
          <w:sz w:val="24"/>
          <w:highlight w:val="none"/>
        </w:rPr>
      </w:pP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rPr>
        <w:t xml:space="preserve">以上价格为协会指导价，双方可</w:t>
      </w:r>
      <w:r>
        <w:rPr>
          <w:rFonts w:hint="eastAsia" w:ascii="仿宋" w:hAnsi="仿宋" w:eastAsia="仿宋" w:cs="仿宋"/>
          <w:sz w:val="24"/>
          <w:szCs w:val="24"/>
          <w:highlight w:val="none"/>
          <w:lang w:val="en-US" w:eastAsia="zh-CN"/>
        </w:rPr>
        <w:t xml:space="preserve">根据项目难易程度和优质优价原则</w:t>
      </w:r>
      <w:r>
        <w:rPr>
          <w:rFonts w:hint="eastAsia" w:ascii="仿宋" w:hAnsi="仿宋" w:eastAsia="仿宋" w:cs="仿宋"/>
          <w:sz w:val="24"/>
          <w:szCs w:val="24"/>
          <w:highlight w:val="none"/>
        </w:rPr>
        <w:t xml:space="preserve">协商</w:t>
      </w:r>
      <w:r>
        <w:rPr>
          <w:rFonts w:hint="eastAsia" w:ascii="仿宋" w:hAnsi="仿宋" w:eastAsia="仿宋" w:cs="仿宋"/>
          <w:sz w:val="24"/>
          <w:szCs w:val="24"/>
          <w:highlight w:val="none"/>
          <w:lang w:val="en-US" w:eastAsia="zh-CN"/>
        </w:rPr>
        <w:t xml:space="preserve">确</w:t>
      </w:r>
      <w:r>
        <w:rPr>
          <w:rFonts w:hint="eastAsia" w:ascii="仿宋" w:hAnsi="仿宋" w:eastAsia="仿宋" w:cs="仿宋"/>
          <w:sz w:val="24"/>
          <w:szCs w:val="24"/>
          <w:highlight w:val="none"/>
        </w:rPr>
        <w:t xml:space="preserve">定</w:t>
      </w:r>
      <w:r>
        <w:rPr>
          <w:rFonts w:hint="eastAsia" w:ascii="仿宋" w:hAnsi="仿宋" w:eastAsia="仿宋" w:cs="仿宋"/>
          <w:sz w:val="24"/>
          <w:szCs w:val="24"/>
          <w:highlight w:val="none"/>
          <w:lang w:eastAsia="zh-CN"/>
        </w:rPr>
        <w:t xml:space="preserve">。</w:t>
      </w:r>
      <w:r>
        <w:rPr>
          <w:rFonts w:hint="eastAsia" w:ascii="仿宋" w:hAnsi="仿宋" w:eastAsia="仿宋" w:cs="仿宋"/>
          <w:color w:val="auto"/>
          <w:sz w:val="24"/>
          <w:highlight w:val="none"/>
        </w:rPr>
        <w:br w:type="page" w:clear="all"/>
      </w:r>
      <w:r/>
    </w:p>
    <w:p>
      <w:pPr>
        <w:pStyle w:val="823"/>
        <w:numPr>
          <w:ilvl w:val="0"/>
          <w:numId w:val="8"/>
        </w:numPr>
        <w:jc w:val="center"/>
        <w:spacing w:after="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评标标准</w:t>
      </w:r>
      <w:r/>
    </w:p>
    <w:tbl>
      <w:tblPr>
        <w:tblStyle w:val="816"/>
        <w:tblpPr w:horzAnchor="page" w:tblpX="1164" w:vertAnchor="page" w:tblpY="2793" w:leftFromText="180" w:topFromText="0" w:rightFromText="180" w:bottomFromText="0"/>
        <w:tblW w:w="96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5"/>
        <w:gridCol w:w="1230"/>
        <w:gridCol w:w="7537"/>
      </w:tblGrid>
      <w:tr>
        <w:trPr>
          <w:trHeight w:val="527"/>
        </w:trPr>
        <w:tc>
          <w:tcPr>
            <w:gridSpan w:val="2"/>
            <w:tcW w:w="207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b/>
                <w:color w:val="auto"/>
                <w:sz w:val="24"/>
                <w:highlight w:val="none"/>
              </w:rPr>
              <w:t xml:space="preserve">评审因素</w:t>
            </w:r>
            <w:r/>
          </w:p>
        </w:tc>
        <w:tc>
          <w:tcPr>
            <w:tcW w:w="7537"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b/>
                <w:color w:val="auto"/>
                <w:sz w:val="24"/>
                <w:highlight w:val="none"/>
              </w:rPr>
              <w:t xml:space="preserve">评审因素细化和量化</w:t>
            </w:r>
            <w:r/>
          </w:p>
        </w:tc>
      </w:tr>
      <w:tr>
        <w:trPr>
          <w:cantSplit/>
          <w:trHeight w:val="550"/>
        </w:trPr>
        <w:tc>
          <w:tcPr>
            <w:gridSpan w:val="2"/>
            <w:tcW w:w="2075"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价格部分</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分）</w:t>
            </w:r>
            <w:r/>
          </w:p>
        </w:tc>
        <w:tc>
          <w:tcPr>
            <w:tcW w:w="7537" w:type="dxa"/>
            <w:vAlign w:val="center"/>
            <w:textDirection w:val="lrTb"/>
            <w:noWrap w:val="false"/>
          </w:tcPr>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各投标人价格得分=(100%-投标人的最高综合优惠率)÷(100%-各投标人综合优惠率)×</w:t>
            </w:r>
            <w:r>
              <w:rPr>
                <w:rFonts w:hint="eastAsia" w:ascii="仿宋" w:hAnsi="仿宋" w:eastAsia="仿宋" w:cs="仿宋"/>
                <w:color w:val="auto"/>
                <w:sz w:val="24"/>
                <w:highlight w:val="none"/>
                <w:lang w:val="en-US" w:eastAsia="zh-CN"/>
              </w:rPr>
              <w:t xml:space="preserve">20</w:t>
            </w:r>
            <w:r>
              <w:rPr>
                <w:rFonts w:hint="eastAsia" w:ascii="仿宋" w:hAnsi="仿宋" w:eastAsia="仿宋" w:cs="仿宋"/>
                <w:color w:val="auto"/>
                <w:sz w:val="24"/>
                <w:highlight w:val="none"/>
              </w:rPr>
              <w:t xml:space="preserve">(按四舍五入取至小数点后两位)。</w:t>
            </w:r>
            <w:r/>
          </w:p>
        </w:tc>
      </w:tr>
      <w:tr>
        <w:trPr>
          <w:cantSplit/>
          <w:trHeight w:val="2471"/>
        </w:trPr>
        <w:tc>
          <w:tcPr>
            <w:tcW w:w="845" w:type="dxa"/>
            <w:vAlign w:val="center"/>
            <w:vMerge w:val="restart"/>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bCs/>
                <w:color w:val="auto"/>
                <w:sz w:val="22"/>
                <w:szCs w:val="22"/>
                <w:highlight w:val="none"/>
              </w:rPr>
              <w:t xml:space="preserve">技术方案（</w:t>
            </w:r>
            <w:r>
              <w:rPr>
                <w:rFonts w:hint="eastAsia" w:ascii="仿宋" w:hAnsi="仿宋" w:eastAsia="仿宋" w:cs="仿宋"/>
                <w:bCs/>
                <w:color w:val="auto"/>
                <w:sz w:val="22"/>
                <w:szCs w:val="22"/>
                <w:highlight w:val="none"/>
                <w:lang w:val="en-US" w:eastAsia="zh-CN"/>
              </w:rPr>
              <w:t xml:space="preserve">54</w:t>
            </w:r>
            <w:r>
              <w:rPr>
                <w:rFonts w:hint="eastAsia" w:ascii="仿宋" w:hAnsi="仿宋" w:eastAsia="仿宋" w:cs="仿宋"/>
                <w:bCs/>
                <w:color w:val="auto"/>
                <w:sz w:val="22"/>
                <w:szCs w:val="22"/>
                <w:highlight w:val="none"/>
              </w:rPr>
              <w:t xml:space="preserve">分）</w:t>
            </w:r>
            <w:r/>
          </w:p>
        </w:tc>
        <w:tc>
          <w:tcPr>
            <w:tcW w:w="1230" w:type="dxa"/>
            <w:vAlign w:val="center"/>
            <w:textDirection w:val="lrTb"/>
            <w:noWrap w:val="false"/>
          </w:tcPr>
          <w:p>
            <w:pPr>
              <w:jc w:val="center"/>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食材供应及配送方案（</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tc>
        <w:tc>
          <w:tcPr>
            <w:tcW w:w="7537" w:type="dxa"/>
            <w:vAlign w:val="center"/>
            <w:textDirection w:val="lrTb"/>
            <w:noWrap w:val="false"/>
          </w:tcPr>
          <w:p>
            <w:pPr>
              <w:ind w:left="100"/>
              <w:spacing w:line="240" w:lineRule="auto"/>
              <w:widowControl/>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对方案内容全面性、可行性、针对性进行评价</w:t>
            </w:r>
            <w:r>
              <w:rPr>
                <w:rFonts w:hint="eastAsia" w:ascii="仿宋" w:hAnsi="仿宋" w:eastAsia="仿宋" w:cs="仿宋"/>
                <w:color w:val="auto"/>
                <w:sz w:val="24"/>
                <w:highlight w:val="none"/>
                <w:lang w:eastAsia="zh-CN"/>
              </w:rPr>
              <w:t xml:space="preserve">。</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方案全面性（3分）：全面具体详实得3分；较全面得2分；存在较大漏项或缺陷得1分。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方案可行性（3分）：切实可行得3分；较切实可行得2分；可行性欠缺得1分。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方案针对性（2分）：针对性强得2分；针对性较强得1分；针对性不强得0.5分。</w:t>
            </w:r>
            <w:r/>
          </w:p>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未提供的得0分，本项最高得8分，最低得0分。</w:t>
            </w:r>
            <w:r/>
          </w:p>
        </w:tc>
      </w:tr>
      <w:tr>
        <w:trPr>
          <w:cantSplit/>
          <w:trHeight w:val="2423"/>
        </w:trPr>
        <w:tc>
          <w:tcPr>
            <w:tcW w:w="845" w:type="dxa"/>
            <w:vAlign w:val="center"/>
            <w:vMerge w:val="continue"/>
            <w:textDirection w:val="lrTb"/>
            <w:noWrap w:val="false"/>
          </w:tcPr>
          <w:p>
            <w:pPr>
              <w:jc w:val="center"/>
              <w:widowControl/>
              <w:rPr>
                <w:rFonts w:ascii="仿宋" w:hAnsi="仿宋" w:eastAsia="仿宋" w:cs="仿宋"/>
                <w:bCs/>
                <w:color w:val="auto"/>
                <w:sz w:val="22"/>
                <w:szCs w:val="22"/>
                <w:highlight w:val="none"/>
              </w:rPr>
            </w:pPr>
            <w:r>
              <w:rPr>
                <w:rFonts w:ascii="仿宋" w:hAnsi="仿宋" w:eastAsia="仿宋" w:cs="仿宋"/>
                <w:bCs/>
                <w:color w:val="auto"/>
                <w:sz w:val="22"/>
                <w:szCs w:val="22"/>
                <w:highlight w:val="none"/>
              </w:rPr>
            </w:r>
            <w:r/>
          </w:p>
        </w:tc>
        <w:tc>
          <w:tcPr>
            <w:tcW w:w="1230" w:type="dxa"/>
            <w:vAlign w:val="center"/>
            <w:textDirection w:val="lrTb"/>
            <w:noWrap w:val="false"/>
          </w:tcPr>
          <w:p>
            <w:pPr>
              <w:jc w:val="center"/>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食材质量保证措施（</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w:t>
            </w:r>
            <w:r/>
          </w:p>
        </w:tc>
        <w:tc>
          <w:tcPr>
            <w:tcW w:w="7537" w:type="dxa"/>
            <w:vAlign w:val="center"/>
            <w:textDirection w:val="lrTb"/>
            <w:noWrap w:val="false"/>
          </w:tcPr>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对措施内容全面性、可行性、针对性进行评价。</w:t>
            </w:r>
            <w:r/>
          </w:p>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措施全面性（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分）：全面具体详实得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分；较全面得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分；存在较大漏项或缺陷得1分。</w:t>
            </w:r>
            <w:r/>
          </w:p>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措施可行性（</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分）：切实可行得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分；较切实可行得</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分；可行性欠缺得1分。</w:t>
            </w:r>
            <w:r/>
          </w:p>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措施针对性（</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分）：针对性强得</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分；针对性较强得3分；针对性不强得1分。</w:t>
            </w:r>
            <w:r/>
          </w:p>
          <w:p>
            <w:pPr>
              <w:ind w:left="100"/>
              <w:spacing w:line="240" w:lineRule="auto"/>
              <w:widowControl/>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未提供的得0分，本项最高得</w:t>
            </w: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分，最低得0分。</w:t>
            </w:r>
            <w:r/>
          </w:p>
        </w:tc>
      </w:tr>
      <w:tr>
        <w:trPr>
          <w:cantSplit/>
          <w:trHeight w:val="941"/>
        </w:trPr>
        <w:tc>
          <w:tcPr>
            <w:tcW w:w="845" w:type="dxa"/>
            <w:vAlign w:val="center"/>
            <w:vMerge w:val="continue"/>
            <w:textDirection w:val="lrTb"/>
            <w:noWrap w:val="false"/>
          </w:tcPr>
          <w:p>
            <w:pPr>
              <w:jc w:val="center"/>
              <w:widowControl/>
              <w:rPr>
                <w:rFonts w:ascii="仿宋" w:hAnsi="仿宋" w:eastAsia="仿宋" w:cs="仿宋"/>
                <w:bCs/>
                <w:color w:val="auto"/>
                <w:sz w:val="22"/>
                <w:szCs w:val="22"/>
                <w:highlight w:val="none"/>
              </w:rPr>
            </w:pPr>
            <w:r>
              <w:rPr>
                <w:rFonts w:ascii="仿宋" w:hAnsi="仿宋" w:eastAsia="仿宋" w:cs="仿宋"/>
                <w:bCs/>
                <w:color w:val="auto"/>
                <w:sz w:val="22"/>
                <w:szCs w:val="22"/>
                <w:highlight w:val="none"/>
              </w:rPr>
            </w:r>
            <w:r/>
          </w:p>
        </w:tc>
        <w:tc>
          <w:tcPr>
            <w:tcW w:w="1230" w:type="dxa"/>
            <w:vAlign w:val="center"/>
            <w:textDirection w:val="lrTb"/>
            <w:noWrap w:val="false"/>
          </w:tcPr>
          <w:p>
            <w:pPr>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食材质量保障能力（4分）</w:t>
            </w:r>
            <w:r/>
          </w:p>
        </w:tc>
        <w:tc>
          <w:tcPr>
            <w:tcW w:w="7537" w:type="dxa"/>
            <w:vAlign w:val="center"/>
            <w:textDirection w:val="lrTb"/>
            <w:noWrap w:val="false"/>
          </w:tcPr>
          <w:p>
            <w:pPr>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投标文件中提供投标人具有食品安全检测或农药残留检测设备购置发票原件扫描件及</w:t>
            </w:r>
            <w:r>
              <w:rPr>
                <w:rFonts w:hint="eastAsia" w:ascii="仿宋" w:hAnsi="仿宋" w:eastAsia="仿宋" w:cs="仿宋"/>
                <w:color w:val="auto"/>
                <w:sz w:val="24"/>
                <w:highlight w:val="none"/>
                <w:lang w:val="en-US" w:eastAsia="zh-CN"/>
              </w:rPr>
              <w:t xml:space="preserve">设备</w:t>
            </w:r>
            <w:r>
              <w:rPr>
                <w:rFonts w:hint="eastAsia" w:ascii="仿宋" w:hAnsi="仿宋" w:eastAsia="仿宋" w:cs="仿宋"/>
                <w:color w:val="auto"/>
                <w:sz w:val="24"/>
                <w:highlight w:val="none"/>
              </w:rPr>
              <w:t xml:space="preserve">照片的(两种证明材料缺一不可)，每提供1种设备得2分，本项最高得4分，不提供不得分。</w:t>
            </w:r>
            <w:r/>
          </w:p>
        </w:tc>
      </w:tr>
      <w:tr>
        <w:trPr>
          <w:cantSplit/>
          <w:trHeight w:val="2652"/>
        </w:trPr>
        <w:tc>
          <w:tcPr>
            <w:tcW w:w="845" w:type="dxa"/>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30" w:type="dxa"/>
            <w:vAlign w:val="center"/>
            <w:textDirection w:val="lrTb"/>
            <w:noWrap w:val="false"/>
          </w:tcPr>
          <w:p>
            <w:pPr>
              <w:jc w:val="center"/>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配合与服从采购人管理方案（7分）</w:t>
            </w:r>
            <w:r/>
          </w:p>
        </w:tc>
        <w:tc>
          <w:tcPr>
            <w:tcW w:w="7537" w:type="dxa"/>
            <w:vAlign w:val="center"/>
            <w:textDirection w:val="lrTb"/>
            <w:noWrap w:val="false"/>
          </w:tcPr>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对方案内容全面性、可行性、针对性进行评价。</w:t>
            </w:r>
            <w:r/>
          </w:p>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方案全面性（3分）：全面具体详实得3分；较全面得2分；存在较大漏项或缺陷得1分。</w:t>
            </w:r>
            <w:r/>
          </w:p>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方案可行性（2分）：切实可行得2分；较切实可行得1分；可行性欠缺得0.5分。</w:t>
            </w:r>
            <w:r/>
          </w:p>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方案针对性（2分）：针对性强得2分；针对性较强得1分；针对性不强得0.5分。</w:t>
            </w:r>
            <w:r/>
          </w:p>
          <w:p>
            <w:pPr>
              <w:ind w:left="100"/>
              <w:spacing w:line="240" w:lineRule="auto"/>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未提供的得0分，本项最高得7分，最低得0分。</w:t>
            </w:r>
            <w:r/>
          </w:p>
        </w:tc>
      </w:tr>
      <w:tr>
        <w:trPr>
          <w:cantSplit/>
          <w:trHeight w:val="90"/>
        </w:trPr>
        <w:tc>
          <w:tcPr>
            <w:tcW w:w="845" w:type="dxa"/>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30"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处理突发食品安全事件的应急预案（9分）</w:t>
            </w:r>
            <w:r/>
          </w:p>
        </w:tc>
        <w:tc>
          <w:tcPr>
            <w:tcW w:w="7537" w:type="dxa"/>
            <w:vAlign w:val="center"/>
            <w:textDirection w:val="lrTb"/>
            <w:noWrap w:val="false"/>
          </w:tcPr>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对方案内容全面性、可行性、针对性进行评价。</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全面性（3分）：全面具体详实得3分；较全面得2分；存在较大漏项或缺陷得1分。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可行性（3分）：切实可行得3分；较切实可行得2分；可行性欠缺得1分。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针对性（3分）：针对性强得3分；针对性较强得2分；针对性不强得1分。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未提供的得0分，本项最高得9分，最低得0分。</w:t>
            </w:r>
            <w:r/>
          </w:p>
        </w:tc>
      </w:tr>
      <w:tr>
        <w:trPr>
          <w:cantSplit/>
          <w:trHeight w:val="90"/>
        </w:trPr>
        <w:tc>
          <w:tcPr>
            <w:tcW w:w="845" w:type="dxa"/>
            <w:vAlign w:val="center"/>
            <w:vMerge w:val="continue"/>
            <w:textDirection w:val="lrTb"/>
            <w:noWrap w:val="false"/>
          </w:tcPr>
          <w:p>
            <w:pPr>
              <w:jc w:val="left"/>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30"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紧急勤务保障方案（8分）</w:t>
            </w:r>
            <w:r/>
          </w:p>
        </w:tc>
        <w:tc>
          <w:tcPr>
            <w:tcW w:w="7537" w:type="dxa"/>
            <w:vAlign w:val="center"/>
            <w:textDirection w:val="lrTb"/>
            <w:noWrap w:val="false"/>
          </w:tcPr>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对方案内容全面性、可行性、针对性进行评价。</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方案全面性（3分）：全面具体详实得3分；较全面得2分；存在较大漏项或缺陷得1分。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方案可行性（3分）：切实可行得3分；较切实可行得2分；可行性欠缺得1分。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方案针对性（2分）：针对性强得2分；针对性较强得1分；针对性不强得0.5分。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未提供的得0分，本项最高得8分，最低得0分。</w:t>
            </w:r>
            <w:r/>
          </w:p>
        </w:tc>
      </w:tr>
      <w:tr>
        <w:trPr>
          <w:cantSplit/>
          <w:trHeight w:val="1623"/>
        </w:trPr>
        <w:tc>
          <w:tcPr>
            <w:tcW w:w="845" w:type="dxa"/>
            <w:vAlign w:val="center"/>
            <w:vMerge w:val="continue"/>
            <w:textDirection w:val="lrTb"/>
            <w:noWrap w:val="false"/>
          </w:tcPr>
          <w:p>
            <w:pPr>
              <w:jc w:val="left"/>
              <w:widowControl/>
              <w:rPr>
                <w:rFonts w:ascii="仿宋" w:hAnsi="仿宋" w:eastAsia="仿宋" w:cs="仿宋"/>
                <w:color w:val="auto"/>
                <w:sz w:val="18"/>
                <w:szCs w:val="18"/>
                <w:highlight w:val="none"/>
              </w:rPr>
            </w:pPr>
            <w:r>
              <w:rPr>
                <w:rFonts w:ascii="仿宋" w:hAnsi="仿宋" w:eastAsia="仿宋" w:cs="仿宋"/>
                <w:color w:val="auto"/>
                <w:sz w:val="18"/>
                <w:szCs w:val="18"/>
                <w:highlight w:val="none"/>
              </w:rPr>
            </w:r>
            <w:r/>
          </w:p>
        </w:tc>
        <w:tc>
          <w:tcPr>
            <w:tcW w:w="1230"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退换货承诺方案（</w:t>
            </w: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分）</w:t>
            </w:r>
            <w:r/>
          </w:p>
        </w:tc>
        <w:tc>
          <w:tcPr>
            <w:tcW w:w="7537" w:type="dxa"/>
            <w:vAlign w:val="center"/>
            <w:textDirection w:val="lrTb"/>
            <w:noWrap w:val="false"/>
          </w:tcPr>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方案全面性（3分）：全面具体详实得3分；较全面得2分；存在较大漏项或缺陷得1分。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方案可行性（3分）：切实可行得3分；较切实可行得2分；可行性欠缺得1分。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方案针对性（2分）：针对性强得2分；针对性较强得1分；针对性不强得0.5分。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未提供的得0分，本项最高得8分，最低得0分。</w:t>
            </w:r>
            <w:r/>
          </w:p>
        </w:tc>
      </w:tr>
      <w:tr>
        <w:trPr>
          <w:cantSplit/>
          <w:trHeight w:val="875"/>
        </w:trPr>
        <w:tc>
          <w:tcPr>
            <w:tcW w:w="845" w:type="dxa"/>
            <w:vAlign w:val="center"/>
            <w:vMerge w:val="restart"/>
            <w:textDirection w:val="lrTb"/>
            <w:noWrap w:val="false"/>
          </w:tcPr>
          <w:p>
            <w:pPr>
              <w:jc w:val="center"/>
              <w:widowControl/>
              <w:rPr>
                <w:rFonts w:ascii="仿宋" w:hAnsi="仿宋" w:eastAsia="仿宋" w:cs="仿宋"/>
                <w:color w:val="auto"/>
                <w:sz w:val="22"/>
                <w:szCs w:val="22"/>
                <w:highlight w:val="none"/>
              </w:rPr>
            </w:pPr>
            <w:r>
              <w:rPr>
                <w:rFonts w:hint="eastAsia" w:ascii="仿宋" w:hAnsi="仿宋" w:eastAsia="仿宋" w:cs="仿宋"/>
                <w:color w:val="auto"/>
                <w:sz w:val="24"/>
                <w:highlight w:val="none"/>
              </w:rPr>
              <w:t xml:space="preserve">商务部分</w:t>
            </w:r>
            <w:r>
              <w:rPr>
                <w:rFonts w:hint="eastAsia" w:ascii="仿宋" w:hAnsi="仿宋" w:eastAsia="仿宋" w:cs="仿宋"/>
                <w:color w:val="auto"/>
                <w:sz w:val="22"/>
                <w:szCs w:val="22"/>
                <w:highlight w:val="none"/>
              </w:rPr>
              <w:t xml:space="preserve">（26分）</w:t>
            </w:r>
            <w:r/>
          </w:p>
        </w:tc>
        <w:tc>
          <w:tcPr>
            <w:tcW w:w="1230"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人员配备方案(8分)</w:t>
            </w:r>
            <w:r/>
          </w:p>
        </w:tc>
        <w:tc>
          <w:tcPr>
            <w:tcW w:w="7537" w:type="dxa"/>
            <w:vAlign w:val="center"/>
            <w:textDirection w:val="lrTb"/>
            <w:noWrap w:val="false"/>
          </w:tcPr>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对方案内容全面性、可行性、针对性进行评价。</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方案全面性（3分）：全面具体详实得3分；较全面得2分；存在较大漏项或缺陷得1分。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方案可行性（3分）：切实可行得3分；较切实可行得2分；可行性欠缺得1分。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方案针对性（2分）：针对性强得2分；针对性较强得1分；针对性不强得0.5分。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未提供的得0分，本项最高得8分，最低得0分。</w:t>
            </w:r>
            <w:r/>
          </w:p>
        </w:tc>
      </w:tr>
      <w:tr>
        <w:trPr>
          <w:cantSplit/>
          <w:trHeight w:val="2540"/>
        </w:trPr>
        <w:tc>
          <w:tcPr>
            <w:tcW w:w="845" w:type="dxa"/>
            <w:vAlign w:val="center"/>
            <w:vMerge w:val="continue"/>
            <w:textDirection w:val="lrTb"/>
            <w:noWrap w:val="false"/>
          </w:tcPr>
          <w:p>
            <w:pPr>
              <w:jc w:val="center"/>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30"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车辆配备方案（8分）</w:t>
            </w:r>
            <w:r/>
          </w:p>
        </w:tc>
        <w:tc>
          <w:tcPr>
            <w:tcW w:w="7537" w:type="dxa"/>
            <w:vAlign w:val="center"/>
            <w:textDirection w:val="lrTb"/>
            <w:noWrap w:val="false"/>
          </w:tcPr>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对方案内容全面性、可行性、针对性进行评价。</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方案全面性（3分）：全面具体详实得3分；较全面得2分；存在较大漏项或缺陷得1分。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方案可行性（3分）：切实可行得3分；较切实可行得2分；可行性欠缺得1分。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方案针对性（2分）：针对性强得2分；针对性较强得1分；针对性不强得0.5分。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未提供的得0分，本项最高得8分，最低得0分。</w:t>
            </w:r>
            <w:r/>
          </w:p>
        </w:tc>
      </w:tr>
      <w:tr>
        <w:trPr>
          <w:cantSplit/>
          <w:trHeight w:val="372"/>
        </w:trPr>
        <w:tc>
          <w:tcPr>
            <w:tcW w:w="845" w:type="dxa"/>
            <w:vAlign w:val="center"/>
            <w:vMerge w:val="continue"/>
            <w:textDirection w:val="lrTb"/>
            <w:noWrap w:val="false"/>
          </w:tcPr>
          <w:p>
            <w:pPr>
              <w:jc w:val="center"/>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30"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投标人业绩（4 分）</w:t>
            </w:r>
            <w:r/>
          </w:p>
        </w:tc>
        <w:tc>
          <w:tcPr>
            <w:tcW w:w="7537" w:type="dxa"/>
            <w:vAlign w:val="center"/>
            <w:textDirection w:val="lrTb"/>
            <w:noWrap w:val="false"/>
          </w:tcPr>
          <w:p>
            <w:pP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投标文件中提供投标人自202</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年1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月1日以来（时间以合同签订时间为准），合同内容为与本次采购项目同类或相似的合同，每项得2分，最高得4分。</w:t>
            </w:r>
            <w:r/>
          </w:p>
          <w:p>
            <w:pPr>
              <w:widowControl/>
              <w:rPr>
                <w:rFonts w:ascii="仿宋" w:hAnsi="仿宋" w:eastAsia="仿宋" w:cs="仿宋"/>
                <w:color w:val="auto"/>
                <w:sz w:val="20"/>
                <w:szCs w:val="20"/>
                <w:highlight w:val="none"/>
              </w:rPr>
            </w:pPr>
            <w:r>
              <w:rPr>
                <w:rFonts w:hint="eastAsia" w:ascii="仿宋" w:hAnsi="仿宋" w:eastAsia="仿宋" w:cs="仿宋"/>
                <w:b/>
                <w:bCs/>
                <w:color w:val="auto"/>
                <w:sz w:val="24"/>
                <w:highlight w:val="none"/>
              </w:rPr>
              <w:t xml:space="preserve">注：投标文件中同时提供中标（成交）通知书原件扫描件、合同原件扫描件、发票（或对应银行收款进账凭证）原件扫描件并加盖电子签章，业绩合同中主要内容、总金额等清晰可见，缺一或提供内容模糊不清的不得分。</w:t>
            </w:r>
            <w:r/>
          </w:p>
        </w:tc>
      </w:tr>
      <w:tr>
        <w:trPr>
          <w:cantSplit/>
          <w:trHeight w:val="1700"/>
        </w:trPr>
        <w:tc>
          <w:tcPr>
            <w:tcW w:w="845" w:type="dxa"/>
            <w:vAlign w:val="center"/>
            <w:vMerge w:val="continue"/>
            <w:textDirection w:val="lrTb"/>
            <w:noWrap w:val="false"/>
          </w:tcPr>
          <w:p>
            <w:pPr>
              <w:jc w:val="center"/>
              <w:widowControl/>
              <w:rPr>
                <w:rFonts w:ascii="仿宋" w:hAnsi="仿宋" w:eastAsia="仿宋" w:cs="仿宋"/>
                <w:color w:val="auto"/>
                <w:sz w:val="22"/>
                <w:szCs w:val="22"/>
                <w:highlight w:val="none"/>
              </w:rPr>
            </w:pPr>
            <w:r>
              <w:rPr>
                <w:rFonts w:ascii="仿宋" w:hAnsi="仿宋" w:eastAsia="仿宋" w:cs="仿宋"/>
                <w:color w:val="auto"/>
                <w:sz w:val="22"/>
                <w:szCs w:val="22"/>
                <w:highlight w:val="none"/>
              </w:rPr>
            </w:r>
            <w:r/>
          </w:p>
        </w:tc>
        <w:tc>
          <w:tcPr>
            <w:tcW w:w="1230" w:type="dxa"/>
            <w:vAlign w:val="center"/>
            <w:textDirection w:val="lrTb"/>
            <w:noWrap w:val="false"/>
          </w:tcPr>
          <w:p>
            <w:pPr>
              <w:jc w:val="center"/>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企业实力（6分）</w:t>
            </w:r>
            <w:r/>
          </w:p>
        </w:tc>
        <w:tc>
          <w:tcPr>
            <w:tcW w:w="7537" w:type="dxa"/>
            <w:vAlign w:val="center"/>
            <w:textDirection w:val="lrTb"/>
            <w:noWrap w:val="false"/>
          </w:tcPr>
          <w:p>
            <w:pPr>
              <w:rPr>
                <w:rFonts w:ascii="仿宋" w:hAnsi="仿宋" w:eastAsia="仿宋" w:cs="仿宋"/>
                <w:color w:val="auto"/>
                <w:sz w:val="24"/>
                <w:highlight w:val="none"/>
                <w:lang w:bidi="en-US"/>
              </w:rPr>
            </w:pPr>
            <w:r>
              <w:rPr>
                <w:rFonts w:hint="eastAsia" w:ascii="仿宋" w:hAnsi="仿宋" w:eastAsia="仿宋" w:cs="仿宋"/>
                <w:color w:val="auto"/>
                <w:sz w:val="24"/>
                <w:highlight w:val="none"/>
                <w:lang w:bidi="en-US"/>
              </w:rPr>
              <w:t xml:space="preserve">投标人具有蔬菜生产基地的证明材料(提供自有或租赁产权证明或合作协议原件扫描件)的得2分。</w:t>
            </w:r>
            <w:r/>
          </w:p>
          <w:p>
            <w:pPr>
              <w:ind w:right="6"/>
              <w:rPr>
                <w:rFonts w:ascii="仿宋" w:hAnsi="仿宋" w:eastAsia="仿宋" w:cs="仿宋"/>
                <w:color w:val="auto"/>
                <w:sz w:val="24"/>
                <w:highlight w:val="none"/>
                <w:lang w:bidi="en-US"/>
              </w:rPr>
            </w:pPr>
            <w:r>
              <w:rPr>
                <w:rFonts w:hint="eastAsia" w:ascii="仿宋" w:hAnsi="仿宋" w:eastAsia="仿宋" w:cs="仿宋"/>
                <w:color w:val="auto"/>
                <w:sz w:val="24"/>
                <w:highlight w:val="none"/>
                <w:lang w:bidi="en-US"/>
              </w:rPr>
              <w:t xml:space="preserve">投标人具有自有冷库的证明材料(提供证明材料原件扫描件)的得2分。</w:t>
            </w:r>
            <w:r/>
          </w:p>
          <w:p>
            <w:pPr>
              <w:ind w:right="6"/>
              <w:rPr>
                <w:rFonts w:ascii="仿宋" w:hAnsi="仿宋" w:eastAsia="仿宋" w:cs="仿宋"/>
                <w:color w:val="auto"/>
                <w:sz w:val="24"/>
                <w:highlight w:val="none"/>
                <w:lang w:bidi="en-US"/>
              </w:rPr>
            </w:pPr>
            <w:r>
              <w:rPr>
                <w:rFonts w:hint="eastAsia" w:ascii="仿宋" w:hAnsi="仿宋" w:eastAsia="仿宋" w:cs="仿宋"/>
                <w:color w:val="auto"/>
                <w:sz w:val="24"/>
                <w:highlight w:val="none"/>
                <w:lang w:bidi="en-US"/>
              </w:rPr>
              <w:t xml:space="preserve">投标人具有自有车辆(提供证明材料原件扫描件)的得2分。</w:t>
            </w:r>
            <w:r/>
          </w:p>
          <w:p>
            <w:pPr>
              <w:ind w:left="100"/>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本项最高得6分，未提供不得分。</w:t>
            </w:r>
            <w:r/>
          </w:p>
        </w:tc>
      </w:tr>
    </w:tbl>
    <w:p>
      <w:pPr>
        <w:rPr>
          <w:rFonts w:ascii="仿宋" w:hAnsi="仿宋" w:eastAsia="仿宋" w:cs="仿宋"/>
          <w:color w:val="auto"/>
          <w:sz w:val="24"/>
          <w:highlight w:val="none"/>
        </w:rPr>
      </w:pPr>
      <w:r>
        <w:rPr>
          <w:rFonts w:hint="eastAsia" w:ascii="仿宋" w:hAnsi="仿宋" w:eastAsia="仿宋" w:cs="仿宋"/>
          <w:color w:val="auto"/>
          <w:sz w:val="24"/>
          <w:highlight w:val="none"/>
        </w:rPr>
        <w:t xml:space="preserve">本章说明：1、评分结果精确到小数点后两位。</w:t>
      </w:r>
      <w:r/>
    </w:p>
    <w:p>
      <w:pPr>
        <w:pStyle w:val="823"/>
        <w:spacing w:after="0"/>
        <w:rPr>
          <w:rFonts w:ascii="仿宋" w:hAnsi="仿宋" w:eastAsia="仿宋" w:cs="仿宋"/>
          <w:color w:val="auto"/>
          <w:sz w:val="24"/>
          <w:highlight w:val="none"/>
        </w:rPr>
      </w:pPr>
      <w:r>
        <w:rPr>
          <w:rFonts w:hint="eastAsia" w:ascii="仿宋" w:hAnsi="仿宋" w:eastAsia="仿宋" w:cs="仿宋"/>
          <w:color w:val="auto"/>
          <w:sz w:val="24"/>
          <w:highlight w:val="none"/>
        </w:rPr>
        <w:t xml:space="preserve">2、本项目采用综合评分法。</w:t>
      </w:r>
      <w:r/>
    </w:p>
    <w:p>
      <w:pPr>
        <w:widowControl/>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600"/>
        <w:jc w:val="center"/>
        <w:pageBreakBefore/>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第五章  拟签订的合同文本</w:t>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jc w:val="center"/>
        <w:rPr>
          <w:rFonts w:ascii="仿宋" w:hAnsi="仿宋" w:eastAsia="仿宋" w:cs="仿宋"/>
          <w:b/>
          <w:color w:val="auto"/>
          <w:sz w:val="72"/>
          <w:szCs w:val="72"/>
          <w:highlight w:val="none"/>
          <w:lang w:bidi="ar"/>
        </w:rPr>
      </w:pPr>
      <w:r>
        <w:rPr>
          <w:rFonts w:ascii="仿宋" w:hAnsi="仿宋" w:eastAsia="仿宋" w:cs="仿宋"/>
          <w:b/>
          <w:color w:val="auto"/>
          <w:sz w:val="72"/>
          <w:szCs w:val="72"/>
          <w:highlight w:val="none"/>
          <w:lang w:bidi="ar"/>
        </w:rPr>
      </w:r>
      <w:r/>
    </w:p>
    <w:p>
      <w:pPr>
        <w:jc w:val="center"/>
        <w:rPr>
          <w:rFonts w:ascii="仿宋" w:hAnsi="仿宋" w:eastAsia="仿宋" w:cs="仿宋"/>
          <w:b/>
          <w:color w:val="auto"/>
          <w:sz w:val="72"/>
          <w:szCs w:val="72"/>
          <w:highlight w:val="none"/>
          <w:lang w:bidi="ar"/>
        </w:rPr>
      </w:pPr>
      <w:r>
        <w:rPr>
          <w:rFonts w:ascii="仿宋" w:hAnsi="仿宋" w:eastAsia="仿宋" w:cs="仿宋"/>
          <w:b/>
          <w:color w:val="auto"/>
          <w:sz w:val="72"/>
          <w:szCs w:val="72"/>
          <w:highlight w:val="none"/>
          <w:lang w:bidi="ar"/>
        </w:rPr>
      </w:r>
      <w:r/>
    </w:p>
    <w:p>
      <w:pPr>
        <w:jc w:val="center"/>
        <w:rPr>
          <w:rFonts w:ascii="仿宋" w:hAnsi="仿宋" w:eastAsia="仿宋" w:cs="仿宋"/>
          <w:b/>
          <w:color w:val="auto"/>
          <w:sz w:val="72"/>
          <w:szCs w:val="72"/>
          <w:highlight w:val="none"/>
          <w:lang w:bidi="ar"/>
        </w:rPr>
      </w:pPr>
      <w:r>
        <w:rPr>
          <w:rFonts w:ascii="仿宋" w:hAnsi="仿宋" w:eastAsia="仿宋" w:cs="仿宋"/>
          <w:b/>
          <w:color w:val="auto"/>
          <w:sz w:val="72"/>
          <w:szCs w:val="72"/>
          <w:highlight w:val="none"/>
          <w:lang w:bidi="ar"/>
        </w:rPr>
      </w:r>
      <w:r/>
    </w:p>
    <w:p>
      <w:pPr>
        <w:jc w:val="center"/>
        <w:rPr>
          <w:rFonts w:ascii="仿宋" w:hAnsi="仿宋" w:eastAsia="仿宋" w:cs="仿宋"/>
          <w:b/>
          <w:color w:val="auto"/>
          <w:sz w:val="72"/>
          <w:szCs w:val="72"/>
          <w:highlight w:val="none"/>
        </w:rPr>
      </w:pPr>
      <w:r>
        <w:rPr>
          <w:rFonts w:hint="eastAsia" w:ascii="仿宋" w:hAnsi="仿宋" w:eastAsia="仿宋" w:cs="仿宋"/>
          <w:b/>
          <w:color w:val="auto"/>
          <w:sz w:val="72"/>
          <w:szCs w:val="72"/>
          <w:highlight w:val="none"/>
          <w:lang w:bidi="ar"/>
        </w:rPr>
        <w:t xml:space="preserve">政 府 采 购 合 同</w:t>
      </w:r>
      <w:r/>
    </w:p>
    <w:p>
      <w:pPr>
        <w:jc w:val="left"/>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jc w:val="left"/>
        <w:rPr>
          <w:rFonts w:ascii="仿宋" w:hAnsi="仿宋" w:eastAsia="仿宋" w:cs="仿宋"/>
          <w:b/>
          <w:color w:val="auto"/>
          <w:sz w:val="36"/>
          <w:szCs w:val="36"/>
          <w:highlight w:val="none"/>
        </w:rPr>
      </w:pPr>
      <w:r>
        <w:rPr>
          <w:rFonts w:ascii="仿宋" w:hAnsi="仿宋" w:eastAsia="仿宋" w:cs="仿宋"/>
          <w:b/>
          <w:color w:val="auto"/>
          <w:sz w:val="36"/>
          <w:szCs w:val="36"/>
          <w:highlight w:val="none"/>
        </w:rPr>
      </w:r>
      <w:r/>
    </w:p>
    <w:p>
      <w:pPr>
        <w:jc w:val="left"/>
        <w:rPr>
          <w:rFonts w:ascii="仿宋" w:hAnsi="仿宋" w:eastAsia="仿宋" w:cs="仿宋"/>
          <w:bCs/>
          <w:color w:val="auto"/>
          <w:sz w:val="32"/>
          <w:szCs w:val="32"/>
          <w:highlight w:val="none"/>
          <w:lang w:bidi="ar"/>
        </w:rPr>
      </w:pPr>
      <w:r>
        <w:rPr>
          <w:rFonts w:ascii="仿宋" w:hAnsi="仿宋" w:eastAsia="仿宋" w:cs="仿宋"/>
          <w:bCs/>
          <w:color w:val="auto"/>
          <w:sz w:val="32"/>
          <w:szCs w:val="32"/>
          <w:highlight w:val="none"/>
          <w:lang w:bidi="ar"/>
        </w:rPr>
      </w:r>
      <w:r/>
    </w:p>
    <w:p>
      <w:pPr>
        <w:jc w:val="left"/>
        <w:rPr>
          <w:rFonts w:ascii="仿宋" w:hAnsi="仿宋" w:eastAsia="仿宋" w:cs="仿宋"/>
          <w:bCs/>
          <w:color w:val="auto"/>
          <w:sz w:val="32"/>
          <w:szCs w:val="32"/>
          <w:highlight w:val="none"/>
          <w:lang w:bidi="ar"/>
        </w:rPr>
      </w:pPr>
      <w:r>
        <w:rPr>
          <w:rFonts w:hint="eastAsia" w:ascii="仿宋" w:hAnsi="仿宋" w:eastAsia="仿宋" w:cs="仿宋"/>
          <w:bCs/>
          <w:color w:val="auto"/>
          <w:sz w:val="32"/>
          <w:szCs w:val="32"/>
          <w:highlight w:val="none"/>
          <w:lang w:bidi="ar"/>
        </w:rPr>
        <w:t xml:space="preserve">项目编号：</w:t>
      </w:r>
      <w:r/>
    </w:p>
    <w:p>
      <w:pPr>
        <w:jc w:val="left"/>
        <w:rPr>
          <w:rFonts w:ascii="仿宋" w:hAnsi="仿宋" w:eastAsia="仿宋" w:cs="仿宋"/>
          <w:bCs/>
          <w:color w:val="auto"/>
          <w:sz w:val="32"/>
          <w:szCs w:val="32"/>
          <w:highlight w:val="none"/>
          <w:lang w:bidi="ar"/>
        </w:rPr>
      </w:pPr>
      <w:r>
        <w:rPr>
          <w:rFonts w:ascii="仿宋" w:hAnsi="仿宋" w:eastAsia="仿宋" w:cs="仿宋"/>
          <w:bCs/>
          <w:color w:val="auto"/>
          <w:sz w:val="32"/>
          <w:szCs w:val="32"/>
          <w:highlight w:val="none"/>
          <w:lang w:bidi="ar"/>
        </w:rPr>
      </w:r>
      <w:r/>
    </w:p>
    <w:p>
      <w:pPr>
        <w:jc w:val="left"/>
        <w:rPr>
          <w:rFonts w:ascii="仿宋" w:hAnsi="仿宋" w:eastAsia="仿宋" w:cs="仿宋"/>
          <w:bCs/>
          <w:color w:val="auto"/>
          <w:sz w:val="32"/>
          <w:szCs w:val="32"/>
          <w:highlight w:val="none"/>
          <w:lang w:bidi="ar"/>
        </w:rPr>
      </w:pPr>
      <w:r>
        <w:rPr>
          <w:rFonts w:hint="eastAsia" w:ascii="仿宋" w:hAnsi="仿宋" w:eastAsia="仿宋" w:cs="仿宋"/>
          <w:bCs/>
          <w:color w:val="auto"/>
          <w:sz w:val="32"/>
          <w:szCs w:val="32"/>
          <w:highlight w:val="none"/>
          <w:lang w:bidi="ar"/>
        </w:rPr>
        <w:t xml:space="preserve">项目名称：         </w:t>
      </w:r>
      <w:r/>
    </w:p>
    <w:p>
      <w:pPr>
        <w:jc w:val="left"/>
        <w:rPr>
          <w:rFonts w:ascii="仿宋" w:hAnsi="仿宋" w:eastAsia="仿宋" w:cs="仿宋"/>
          <w:bCs/>
          <w:color w:val="auto"/>
          <w:sz w:val="32"/>
          <w:szCs w:val="32"/>
          <w:highlight w:val="none"/>
          <w:lang w:bidi="ar"/>
        </w:rPr>
      </w:pPr>
      <w:r>
        <w:rPr>
          <w:rFonts w:ascii="仿宋" w:hAnsi="仿宋" w:eastAsia="仿宋" w:cs="仿宋"/>
          <w:bCs/>
          <w:color w:val="auto"/>
          <w:sz w:val="32"/>
          <w:szCs w:val="32"/>
          <w:highlight w:val="none"/>
          <w:lang w:bidi="ar"/>
        </w:rPr>
      </w:r>
      <w:r/>
    </w:p>
    <w:p>
      <w:pPr>
        <w:jc w:val="left"/>
        <w:rPr>
          <w:rFonts w:ascii="仿宋" w:hAnsi="仿宋" w:eastAsia="仿宋" w:cs="仿宋"/>
          <w:bCs/>
          <w:color w:val="auto"/>
          <w:sz w:val="32"/>
          <w:szCs w:val="32"/>
          <w:highlight w:val="none"/>
          <w:lang w:bidi="ar"/>
        </w:rPr>
      </w:pPr>
      <w:r>
        <w:rPr>
          <w:rFonts w:hint="eastAsia" w:ascii="仿宋" w:hAnsi="仿宋" w:eastAsia="仿宋" w:cs="仿宋"/>
          <w:bCs/>
          <w:color w:val="auto"/>
          <w:sz w:val="32"/>
          <w:szCs w:val="32"/>
          <w:highlight w:val="none"/>
          <w:lang w:bidi="ar"/>
        </w:rPr>
        <w:t xml:space="preserve">采购单位：</w:t>
      </w:r>
      <w:r/>
    </w:p>
    <w:p>
      <w:pPr>
        <w:jc w:val="left"/>
        <w:rPr>
          <w:rFonts w:ascii="仿宋" w:hAnsi="仿宋" w:eastAsia="仿宋" w:cs="仿宋"/>
          <w:bCs/>
          <w:color w:val="auto"/>
          <w:sz w:val="32"/>
          <w:szCs w:val="32"/>
          <w:highlight w:val="none"/>
          <w:lang w:bidi="ar"/>
        </w:rPr>
      </w:pPr>
      <w:r>
        <w:rPr>
          <w:rFonts w:ascii="仿宋" w:hAnsi="仿宋" w:eastAsia="仿宋" w:cs="仿宋"/>
          <w:bCs/>
          <w:color w:val="auto"/>
          <w:sz w:val="32"/>
          <w:szCs w:val="32"/>
          <w:highlight w:val="none"/>
          <w:lang w:bidi="ar"/>
        </w:rPr>
      </w:r>
      <w:r/>
    </w:p>
    <w:p>
      <w:pPr>
        <w:jc w:val="lef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bidi="ar"/>
        </w:rPr>
        <w:t xml:space="preserve">中标供应商：</w:t>
      </w:r>
      <w:r/>
    </w:p>
    <w:p>
      <w:pPr>
        <w:ind w:firstLine="630"/>
        <w:jc w:val="left"/>
        <w:rPr>
          <w:rFonts w:ascii="仿宋" w:hAnsi="仿宋" w:eastAsia="仿宋" w:cs="仿宋"/>
          <w:bCs/>
          <w:color w:val="auto"/>
          <w:sz w:val="32"/>
          <w:szCs w:val="32"/>
          <w:highlight w:val="none"/>
        </w:rPr>
      </w:pPr>
      <w:r>
        <w:rPr>
          <w:rFonts w:ascii="仿宋" w:hAnsi="仿宋" w:eastAsia="仿宋" w:cs="仿宋"/>
          <w:bCs/>
          <w:color w:val="auto"/>
          <w:sz w:val="32"/>
          <w:szCs w:val="32"/>
          <w:highlight w:val="none"/>
        </w:rPr>
      </w:r>
      <w:r/>
    </w:p>
    <w:p>
      <w:pPr>
        <w:jc w:val="left"/>
        <w:rPr>
          <w:rFonts w:ascii="仿宋" w:hAnsi="仿宋" w:eastAsia="仿宋" w:cs="仿宋"/>
          <w:bCs/>
          <w:color w:val="auto"/>
          <w:sz w:val="32"/>
          <w:szCs w:val="32"/>
          <w:highlight w:val="none"/>
          <w:lang w:bidi="ar"/>
        </w:rPr>
      </w:pPr>
      <w:r>
        <w:rPr>
          <w:rFonts w:ascii="仿宋" w:hAnsi="仿宋" w:eastAsia="仿宋" w:cs="仿宋"/>
          <w:bCs/>
          <w:color w:val="auto"/>
          <w:sz w:val="32"/>
          <w:szCs w:val="32"/>
          <w:highlight w:val="none"/>
          <w:lang w:bidi="ar"/>
        </w:rPr>
      </w:r>
      <w:r/>
    </w:p>
    <w:p>
      <w:pPr>
        <w:jc w:val="left"/>
        <w:rPr>
          <w:rFonts w:ascii="仿宋" w:hAnsi="仿宋" w:eastAsia="仿宋" w:cs="仿宋"/>
          <w:bCs/>
          <w:color w:val="auto"/>
          <w:sz w:val="32"/>
          <w:szCs w:val="32"/>
          <w:highlight w:val="none"/>
        </w:rPr>
      </w:pPr>
      <w:r>
        <w:rPr>
          <w:rFonts w:hint="eastAsia" w:ascii="仿宋" w:hAnsi="仿宋" w:eastAsia="仿宋" w:cs="仿宋"/>
          <w:bCs/>
          <w:color w:val="auto"/>
          <w:sz w:val="32"/>
          <w:szCs w:val="32"/>
          <w:highlight w:val="none"/>
          <w:lang w:bidi="ar"/>
        </w:rPr>
        <w:t xml:space="preserve">签订日期：    年  月  日</w:t>
      </w:r>
      <w:r/>
    </w:p>
    <w:p>
      <w:pPr>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826"/>
        <w:ind w:left="0" w:firstLine="0"/>
        <w:rPr>
          <w:color w:val="auto"/>
          <w:sz w:val="24"/>
          <w:szCs w:val="24"/>
          <w:highlight w:val="none"/>
        </w:rPr>
      </w:pPr>
      <w:r>
        <w:rPr>
          <w:color w:val="auto"/>
          <w:sz w:val="24"/>
          <w:szCs w:val="24"/>
          <w:highlight w:val="none"/>
        </w:rPr>
      </w:r>
      <w:r/>
    </w:p>
    <w:p>
      <w:pPr>
        <w:pStyle w:val="826"/>
        <w:ind w:left="0" w:right="0" w:firstLine="0"/>
        <w:rPr>
          <w:rFonts w:ascii="仿宋" w:hAnsi="仿宋" w:cs="仿宋"/>
          <w:b/>
          <w:color w:val="auto"/>
          <w:sz w:val="24"/>
          <w:szCs w:val="24"/>
          <w:highlight w:val="none"/>
          <w:lang w:bidi="ar"/>
        </w:rPr>
      </w:pPr>
      <w:r>
        <w:rPr>
          <w:rFonts w:ascii="仿宋" w:hAnsi="仿宋" w:cs="仿宋"/>
          <w:b/>
          <w:color w:val="auto"/>
          <w:sz w:val="24"/>
          <w:szCs w:val="24"/>
          <w:highlight w:val="none"/>
          <w:lang w:bidi="ar"/>
        </w:rPr>
      </w:r>
      <w:r/>
    </w:p>
    <w:p>
      <w:pPr>
        <w:pStyle w:val="826"/>
        <w:ind w:left="0" w:right="0" w:firstLine="0"/>
        <w:rPr>
          <w:rFonts w:ascii="仿宋" w:hAnsi="仿宋" w:cs="仿宋"/>
          <w:b/>
          <w:color w:val="auto"/>
          <w:sz w:val="24"/>
          <w:szCs w:val="24"/>
          <w:highlight w:val="none"/>
          <w:lang w:bidi="ar"/>
        </w:rPr>
      </w:pPr>
      <w:r>
        <w:rPr>
          <w:rFonts w:ascii="仿宋" w:hAnsi="仿宋" w:cs="仿宋"/>
          <w:b/>
          <w:color w:val="auto"/>
          <w:sz w:val="24"/>
          <w:szCs w:val="24"/>
          <w:highlight w:val="none"/>
          <w:lang w:bidi="ar"/>
        </w:rPr>
      </w:r>
      <w:r/>
    </w:p>
    <w:p>
      <w:pPr>
        <w:pStyle w:val="826"/>
        <w:ind w:left="0" w:right="0" w:firstLine="0"/>
        <w:rPr>
          <w:rFonts w:ascii="仿宋" w:hAnsi="仿宋" w:cs="仿宋"/>
          <w:b/>
          <w:color w:val="auto"/>
          <w:sz w:val="24"/>
          <w:szCs w:val="24"/>
          <w:highlight w:val="none"/>
          <w:lang w:bidi="ar"/>
        </w:rPr>
      </w:pPr>
      <w:r>
        <w:rPr>
          <w:rFonts w:ascii="仿宋" w:hAnsi="仿宋" w:cs="仿宋"/>
          <w:b/>
          <w:color w:val="auto"/>
          <w:sz w:val="24"/>
          <w:szCs w:val="24"/>
          <w:highlight w:val="none"/>
          <w:lang w:bidi="ar"/>
        </w:rPr>
      </w:r>
      <w:r/>
    </w:p>
    <w:p>
      <w:pPr>
        <w:pStyle w:val="826"/>
        <w:ind w:left="0" w:right="0" w:firstLine="482"/>
        <w:rPr>
          <w:rFonts w:ascii="仿宋" w:hAnsi="仿宋" w:cs="仿宋"/>
          <w:b/>
          <w:color w:val="auto"/>
          <w:sz w:val="24"/>
          <w:szCs w:val="24"/>
          <w:highlight w:val="none"/>
          <w:lang w:bidi="ar"/>
        </w:rPr>
      </w:pPr>
      <w:r>
        <w:rPr>
          <w:rFonts w:hint="eastAsia" w:ascii="仿宋" w:hAnsi="仿宋" w:cs="仿宋"/>
          <w:b/>
          <w:color w:val="auto"/>
          <w:sz w:val="24"/>
          <w:szCs w:val="24"/>
          <w:highlight w:val="none"/>
          <w:lang w:bidi="ar"/>
        </w:rPr>
        <w:t xml:space="preserve">友情提醒：采购人与中标、成交供应商应当在中标、成交通知书发出之日起三十日内，按照采购文件确定的事项签订政府采购合同。</w:t>
      </w:r>
      <w:r/>
    </w:p>
    <w:p>
      <w:pPr>
        <w:pStyle w:val="826"/>
        <w:ind w:left="0" w:right="0" w:firstLine="482"/>
        <w:rPr>
          <w:rFonts w:ascii="仿宋" w:hAnsi="仿宋" w:cs="仿宋"/>
          <w:b/>
          <w:color w:val="auto"/>
          <w:sz w:val="24"/>
          <w:szCs w:val="24"/>
          <w:highlight w:val="none"/>
          <w:lang w:bidi="ar"/>
        </w:rPr>
        <w:sectPr>
          <w:headerReference w:type="default" r:id="rId11"/>
          <w:footerReference w:type="default" r:id="rId14"/>
          <w:footnotePr/>
          <w:endnotePr/>
          <w:type w:val="nextPage"/>
          <w:pgSz w:w="11906" w:h="16838" w:orient="portrait"/>
          <w:pgMar w:top="1440" w:right="1803" w:bottom="1440" w:left="1803" w:header="851" w:footer="992" w:gutter="0"/>
          <w:cols w:num="1" w:sep="0" w:space="720" w:equalWidth="1"/>
          <w:docGrid w:linePitch="360"/>
        </w:sectPr>
      </w:pPr>
      <w:r>
        <w:rPr>
          <w:rFonts w:hint="eastAsia" w:ascii="仿宋" w:hAnsi="仿宋" w:cs="仿宋"/>
          <w:b/>
          <w:color w:val="auto"/>
          <w:sz w:val="24"/>
          <w:szCs w:val="24"/>
          <w:highlight w:val="none"/>
          <w:lang w:bidi="ar"/>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甲、乙双方根据《中华人民共和国政府采购法》、《中华人民共和国民法典》，按照餐厅原材料配送项目发出的中标通知书、招标文件及乙方的投标文件等，按照平等、自愿的原则，经友好协商，签订本合同。</w:t>
      </w:r>
      <w:r/>
    </w:p>
    <w:p>
      <w:pPr>
        <w:ind w:left="689" w:firstLine="1656"/>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361"/>
        <w:spacing w:line="4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一、供货范围和期限</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（一）供货范围：为甲方食堂进行食材的采购和配送。</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（二）供货时间：供货配送期限1年，自合同签订生效后1年。</w:t>
      </w:r>
      <w:r/>
    </w:p>
    <w:p>
      <w:pPr>
        <w:ind w:firstLine="480"/>
        <w:jc w:val="left"/>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在合同有效期内一方不得擅自变更或终止此合同（涉及合同规定的终止合同条款除外），如未经双方同意，擅自变更或中止此项的一方要负违约责任。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（三）采购需求：详见合同附件1</w:t>
      </w:r>
      <w:r/>
    </w:p>
    <w:p>
      <w:pPr>
        <w:ind w:firstLine="361"/>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361"/>
        <w:spacing w:line="4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二、供应方式及要求</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（一）确定订单</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甲方食堂提前一天向乙方提供所需食品订单，乙方必须在甲方食堂规定时间内，依据订单将甲方食堂所需的食品购齐，送至甲方食堂指定地点进行验收。</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（二）乙方不得以任何理由拒绝供应、随意变更订单项目、内容，由于特殊情况不能及时供应的食品，乙方应提前通知甲方食堂，经甲方食堂许可后方能调整所订食品。</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（三）乙方应主动配合甲方食堂对其供应食品所进行的数量、质量检查。</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(四）乙方应主动配合甲方食堂提供紧急配送服务，合同期内，联系电话要保持24小时畅通，特殊情况乙方须满足能随时送货，如甲方临时需要配送食品，甲方需接到采购人通知后 90 分钟内送达到采购人指定地点。</w:t>
      </w:r>
      <w:r/>
    </w:p>
    <w:p>
      <w:pPr>
        <w:ind w:firstLine="361"/>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numPr>
          <w:ilvl w:val="0"/>
          <w:numId w:val="2"/>
        </w:numPr>
        <w:ind w:firstLine="482"/>
        <w:spacing w:line="4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供应价格及预算金额</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（一）供应价格</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3.1乙方中标优惠率</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3.2基准单价：</w:t>
      </w:r>
      <w:r>
        <w:rPr>
          <w:rFonts w:hint="eastAsia" w:ascii="仿宋" w:hAnsi="仿宋" w:eastAsia="仿宋" w:cs="仿宋"/>
          <w:b/>
          <w:bCs/>
          <w:color w:val="auto"/>
          <w:sz w:val="24"/>
          <w:highlight w:val="none"/>
        </w:rPr>
        <w:t xml:space="preserve">以徐州市发展和改革委员会网站“民生均价监测”最新公布的同类食材算术平均单价为基准单价，网站上没有的食材，以每周四昆仑农贸市场（市政府附近）、惠民农贸市场共两个农贸市场采集食材单价的算术平均单价为基准单价。由采购人组成的询价小组在上述市场采集菜价，每周四定期前往上述两个农贸市场采集价格；如上述还未有的菜品，以供应商的批发采购处的的同类菜品零售价为基准单价，根据上述基准价按优惠率计算的单价。</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3.3乙方供货结算单价=基准单价×（1-乙方中标优惠率），但不得超出基准单价；</w:t>
      </w:r>
      <w:r/>
    </w:p>
    <w:p>
      <w:pPr>
        <w:ind w:firstLine="480"/>
        <w:jc w:val="left"/>
        <w:spacing w:line="400" w:lineRule="exact"/>
        <w:widowControl/>
        <w:tabs>
          <w:tab w:val="left" w:pos="1320" w:leader="none"/>
        </w:tabs>
        <w:rPr>
          <w:rFonts w:ascii="仿宋" w:hAnsi="仿宋" w:eastAsia="仿宋" w:cs="仿宋"/>
          <w:color w:val="auto"/>
          <w:sz w:val="24"/>
          <w:highlight w:val="none"/>
        </w:rPr>
      </w:pPr>
      <w:r>
        <w:rPr>
          <w:rFonts w:hint="eastAsia" w:ascii="仿宋" w:hAnsi="仿宋" w:eastAsia="仿宋" w:cs="仿宋"/>
          <w:color w:val="auto"/>
          <w:sz w:val="24"/>
          <w:highlight w:val="none"/>
        </w:rPr>
        <w:t xml:space="preserve">3.4结算单价及金额以每日清单明细签字金额为准（结算金额包括所有食材、包装、税费、运杂（到位）、保险、管理、售后服务等全部费用以及投标人企业利润、税金和政策性文件规定及合同包含的所有风险、责任等各项应有费用，采购人不支付其他任何费用）。</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3.5乙方需向甲方提供合法有效的增值税普通发票。</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（二）预算金额：</w:t>
      </w:r>
      <w:r>
        <w:rPr>
          <w:rFonts w:hint="eastAsia" w:ascii="仿宋" w:hAnsi="仿宋" w:eastAsia="仿宋" w:cs="仿宋"/>
          <w:color w:val="auto"/>
          <w:sz w:val="24"/>
          <w:highlight w:val="none"/>
          <w:lang w:val="en-US" w:eastAsia="zh-CN"/>
        </w:rPr>
        <w:t xml:space="preserve">120</w:t>
      </w:r>
      <w:r>
        <w:rPr>
          <w:rFonts w:hint="eastAsia" w:ascii="仿宋" w:hAnsi="仿宋" w:eastAsia="仿宋" w:cs="仿宋"/>
          <w:color w:val="auto"/>
          <w:sz w:val="24"/>
          <w:highlight w:val="none"/>
        </w:rPr>
        <w:t xml:space="preserve">万元。</w:t>
      </w:r>
      <w:r/>
    </w:p>
    <w:p>
      <w:pPr>
        <w:ind w:firstLine="361"/>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361"/>
        <w:spacing w:line="4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四、支付（采购资金的支付方式、时间、条件）</w:t>
      </w:r>
      <w:r/>
    </w:p>
    <w:p>
      <w:pPr>
        <w:ind w:firstLine="480"/>
        <w:jc w:val="left"/>
        <w:spacing w:line="400" w:lineRule="exact"/>
        <w:widowControl/>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4.1经双方协商一致，选择以下第</w:t>
      </w:r>
      <w:r>
        <w:rPr>
          <w:rFonts w:hint="eastAsia" w:ascii="仿宋" w:hAnsi="仿宋" w:eastAsia="仿宋" w:cs="仿宋"/>
          <w:bCs/>
          <w:color w:val="auto"/>
          <w:sz w:val="24"/>
          <w:highlight w:val="none"/>
          <w:u w:val="single"/>
          <w:lang w:val="en-US" w:eastAsia="zh-CN"/>
        </w:rPr>
        <w:t xml:space="preserve">     </w:t>
      </w:r>
      <w:r>
        <w:rPr>
          <w:rFonts w:hint="eastAsia" w:ascii="仿宋" w:hAnsi="仿宋" w:eastAsia="仿宋" w:cs="仿宋"/>
          <w:bCs/>
          <w:color w:val="auto"/>
          <w:sz w:val="24"/>
          <w:highlight w:val="none"/>
          <w:lang w:val="en-US" w:eastAsia="zh-CN"/>
        </w:rPr>
        <w:t xml:space="preserve">种付款方式:</w:t>
      </w:r>
      <w:r/>
    </w:p>
    <w:p>
      <w:pPr>
        <w:ind w:firstLine="480"/>
        <w:jc w:val="left"/>
        <w:spacing w:line="40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付款方式一:</w:t>
      </w:r>
      <w:r>
        <w:rPr>
          <w:rFonts w:hint="eastAsia" w:ascii="仿宋" w:hAnsi="仿宋" w:eastAsia="仿宋" w:cs="仿宋"/>
          <w:b/>
          <w:bCs w:val="0"/>
          <w:color w:val="auto"/>
          <w:sz w:val="24"/>
          <w:highlight w:val="none"/>
        </w:rPr>
        <w:t xml:space="preserve"> 提交预付款保函的</w:t>
      </w:r>
      <w:r/>
    </w:p>
    <w:p>
      <w:pPr>
        <w:ind w:firstLine="480"/>
        <w:jc w:val="left"/>
        <w:spacing w:line="40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在双方签订合同后</w:t>
      </w:r>
      <w:r>
        <w:rPr>
          <w:rFonts w:hint="eastAsia" w:ascii="仿宋" w:hAnsi="仿宋" w:eastAsia="仿宋" w:cs="仿宋"/>
          <w:bCs/>
          <w:color w:val="auto"/>
          <w:sz w:val="24"/>
          <w:highlight w:val="none"/>
          <w:lang w:val="en-US" w:eastAsia="zh-CN"/>
        </w:rPr>
        <w:t xml:space="preserve">10个工作日</w:t>
      </w:r>
      <w:r>
        <w:rPr>
          <w:rFonts w:hint="eastAsia" w:ascii="仿宋" w:hAnsi="仿宋" w:eastAsia="仿宋" w:cs="仿宋"/>
          <w:bCs/>
          <w:color w:val="auto"/>
          <w:sz w:val="24"/>
          <w:highlight w:val="none"/>
        </w:rPr>
        <w:t xml:space="preserve">内，甲方向乙方支付预算总金额的</w:t>
      </w:r>
      <w:r>
        <w:rPr>
          <w:rFonts w:hint="eastAsia" w:ascii="仿宋" w:hAnsi="仿宋" w:eastAsia="仿宋" w:cs="仿宋"/>
          <w:bCs/>
          <w:color w:val="auto"/>
          <w:sz w:val="24"/>
          <w:highlight w:val="none"/>
          <w:lang w:val="en-US" w:eastAsia="zh-CN"/>
        </w:rPr>
        <w:t xml:space="preserve">4</w:t>
      </w:r>
      <w:r>
        <w:rPr>
          <w:rFonts w:hint="eastAsia" w:ascii="仿宋" w:hAnsi="仿宋" w:eastAsia="仿宋" w:cs="仿宋"/>
          <w:bCs/>
          <w:color w:val="auto"/>
          <w:sz w:val="24"/>
          <w:highlight w:val="none"/>
        </w:rPr>
        <w:t xml:space="preserve">0%作为预付款。乙方向甲方出具等额预付款保函后，甲方办理政府采购资金结算手续支付给乙方。</w:t>
      </w:r>
      <w:r/>
    </w:p>
    <w:p>
      <w:pPr>
        <w:ind w:firstLine="480"/>
        <w:jc w:val="left"/>
        <w:spacing w:line="400" w:lineRule="exact"/>
        <w:widowControl/>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剩余</w:t>
      </w:r>
      <w:r>
        <w:rPr>
          <w:rFonts w:hint="eastAsia" w:ascii="仿宋" w:hAnsi="仿宋" w:eastAsia="仿宋" w:cs="仿宋"/>
          <w:bCs/>
          <w:color w:val="auto"/>
          <w:sz w:val="24"/>
          <w:highlight w:val="none"/>
          <w:lang w:val="en-US" w:eastAsia="zh-CN"/>
        </w:rPr>
        <w:t xml:space="preserve">费用按月支付，每月1次按实际订单量支付。每次付款经甲方验收合格后，甲方自收到发票后10个工作日</w:t>
      </w:r>
      <w:r>
        <w:rPr>
          <w:rFonts w:hint="eastAsia" w:ascii="仿宋" w:hAnsi="仿宋" w:eastAsia="仿宋" w:cs="仿宋"/>
          <w:bCs/>
          <w:color w:val="auto"/>
          <w:sz w:val="24"/>
          <w:highlight w:val="none"/>
        </w:rPr>
        <w:t xml:space="preserve">内</w:t>
      </w:r>
      <w:r>
        <w:rPr>
          <w:rFonts w:hint="eastAsia" w:ascii="仿宋" w:hAnsi="仿宋" w:eastAsia="仿宋" w:cs="仿宋"/>
          <w:bCs/>
          <w:color w:val="auto"/>
          <w:sz w:val="24"/>
          <w:highlight w:val="none"/>
          <w:lang w:val="en-US" w:eastAsia="zh-CN"/>
        </w:rPr>
        <w:t xml:space="preserve">，将资金支付到合同约定的乙方账户。</w:t>
      </w:r>
      <w:r/>
    </w:p>
    <w:p>
      <w:pPr>
        <w:ind w:firstLine="480"/>
        <w:jc w:val="left"/>
        <w:spacing w:line="40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乙方需提交的支付文件包括:</w:t>
      </w:r>
      <w:r/>
    </w:p>
    <w:p>
      <w:pPr>
        <w:ind w:firstLine="480"/>
        <w:jc w:val="left"/>
        <w:spacing w:line="40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①乙方出具当月甲方已经实际确认的订单量的全额正式发票；</w:t>
      </w:r>
      <w:r/>
    </w:p>
    <w:p>
      <w:pPr>
        <w:ind w:firstLine="480"/>
        <w:jc w:val="left"/>
        <w:spacing w:line="40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②</w:t>
      </w:r>
      <w:r>
        <w:rPr>
          <w:rFonts w:hint="eastAsia" w:ascii="仿宋" w:hAnsi="仿宋" w:eastAsia="仿宋" w:cs="仿宋"/>
          <w:bCs/>
          <w:color w:val="auto"/>
          <w:sz w:val="24"/>
          <w:highlight w:val="none"/>
          <w:lang w:val="en-US" w:eastAsia="zh-CN"/>
        </w:rPr>
        <w:t xml:space="preserve">甲方确认的送货清单。</w:t>
      </w:r>
      <w:r/>
    </w:p>
    <w:p>
      <w:pPr>
        <w:ind w:firstLine="480"/>
        <w:jc w:val="left"/>
        <w:spacing w:line="400" w:lineRule="exact"/>
        <w:widowControl/>
        <w:rPr>
          <w:rFonts w:hint="eastAsia" w:ascii="仿宋" w:hAnsi="仿宋" w:eastAsia="仿宋" w:cs="仿宋"/>
          <w:b/>
          <w:bCs w:val="0"/>
          <w:color w:val="auto"/>
          <w:sz w:val="24"/>
          <w:highlight w:val="none"/>
        </w:rPr>
      </w:pPr>
      <w:r>
        <w:rPr>
          <w:rFonts w:hint="eastAsia" w:ascii="仿宋" w:hAnsi="仿宋" w:eastAsia="仿宋" w:cs="仿宋"/>
          <w:bCs/>
          <w:color w:val="auto"/>
          <w:sz w:val="24"/>
          <w:highlight w:val="none"/>
        </w:rPr>
        <w:t xml:space="preserve">付款方式二：</w:t>
      </w:r>
      <w:r>
        <w:rPr>
          <w:rFonts w:hint="eastAsia" w:ascii="仿宋" w:hAnsi="仿宋" w:eastAsia="仿宋" w:cs="仿宋"/>
          <w:b/>
          <w:bCs w:val="0"/>
          <w:color w:val="auto"/>
          <w:sz w:val="24"/>
          <w:highlight w:val="none"/>
        </w:rPr>
        <w:t xml:space="preserve">不提交预付款保函的</w:t>
      </w:r>
      <w:r/>
    </w:p>
    <w:p>
      <w:pPr>
        <w:ind w:firstLine="480"/>
        <w:jc w:val="left"/>
        <w:spacing w:line="400" w:lineRule="exact"/>
        <w:widowControl/>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合同签订后，甲方收到乙方开具的发票（发票金额为预算金额的10%）之日起</w:t>
      </w:r>
      <w:r>
        <w:rPr>
          <w:rFonts w:hint="eastAsia" w:ascii="仿宋" w:hAnsi="仿宋" w:eastAsia="仿宋" w:cs="仿宋"/>
          <w:bCs/>
          <w:color w:val="auto"/>
          <w:sz w:val="24"/>
          <w:highlight w:val="none"/>
          <w:lang w:val="en-US" w:eastAsia="zh-CN"/>
        </w:rPr>
        <w:t xml:space="preserve">10个工作日</w:t>
      </w:r>
      <w:r>
        <w:rPr>
          <w:rFonts w:hint="eastAsia" w:ascii="仿宋" w:hAnsi="仿宋" w:eastAsia="仿宋" w:cs="仿宋"/>
          <w:bCs/>
          <w:color w:val="auto"/>
          <w:sz w:val="24"/>
          <w:highlight w:val="none"/>
        </w:rPr>
        <w:t xml:space="preserve">内，向乙方支付预算金额的10%作为预付款。</w:t>
      </w:r>
      <w:r/>
    </w:p>
    <w:p>
      <w:pPr>
        <w:ind w:firstLine="360"/>
        <w:spacing w:line="400" w:lineRule="exact"/>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剩余</w:t>
      </w:r>
      <w:r>
        <w:rPr>
          <w:rFonts w:hint="eastAsia" w:ascii="仿宋" w:hAnsi="仿宋" w:eastAsia="仿宋" w:cs="仿宋"/>
          <w:bCs/>
          <w:color w:val="auto"/>
          <w:sz w:val="24"/>
          <w:highlight w:val="none"/>
          <w:lang w:val="en-US" w:eastAsia="zh-CN"/>
        </w:rPr>
        <w:t xml:space="preserve">费用按月支付，每月</w:t>
      </w:r>
      <w:r>
        <w:rPr>
          <w:rFonts w:hint="eastAsia" w:ascii="仿宋" w:hAnsi="仿宋" w:eastAsia="仿宋" w:cs="仿宋"/>
          <w:color w:val="auto"/>
          <w:sz w:val="24"/>
          <w:highlight w:val="none"/>
        </w:rPr>
        <w:t xml:space="preserve">1-2次</w:t>
      </w:r>
      <w:r>
        <w:rPr>
          <w:rFonts w:hint="eastAsia" w:ascii="仿宋" w:hAnsi="仿宋" w:eastAsia="仿宋" w:cs="仿宋"/>
          <w:color w:val="auto"/>
          <w:sz w:val="24"/>
          <w:highlight w:val="none"/>
          <w:lang w:val="en-US" w:eastAsia="zh-CN"/>
        </w:rPr>
        <w:t xml:space="preserve">按</w:t>
      </w:r>
      <w:r>
        <w:rPr>
          <w:rFonts w:hint="eastAsia" w:ascii="仿宋" w:hAnsi="仿宋" w:eastAsia="仿宋" w:cs="仿宋"/>
          <w:bCs/>
          <w:color w:val="auto"/>
          <w:sz w:val="24"/>
          <w:highlight w:val="none"/>
          <w:lang w:val="en-US" w:eastAsia="zh-CN"/>
        </w:rPr>
        <w:t xml:space="preserve">甲方实际确认的订单量支付。</w:t>
      </w:r>
      <w:r>
        <w:rPr>
          <w:rFonts w:hint="eastAsia" w:ascii="仿宋" w:hAnsi="仿宋" w:eastAsia="仿宋" w:cs="仿宋"/>
          <w:color w:val="auto"/>
          <w:sz w:val="24"/>
          <w:highlight w:val="none"/>
        </w:rPr>
        <w:t xml:space="preserve">每次付款经甲方验收合格后，甲方自收到发票后</w:t>
      </w:r>
      <w:r>
        <w:rPr>
          <w:rFonts w:hint="eastAsia" w:ascii="仿宋" w:hAnsi="仿宋" w:eastAsia="仿宋" w:cs="仿宋"/>
          <w:bCs/>
          <w:color w:val="auto"/>
          <w:sz w:val="24"/>
          <w:highlight w:val="none"/>
          <w:lang w:val="en-US" w:eastAsia="zh-CN"/>
        </w:rPr>
        <w:t xml:space="preserve">10个工作日</w:t>
      </w:r>
      <w:r>
        <w:rPr>
          <w:rFonts w:hint="eastAsia" w:ascii="仿宋" w:hAnsi="仿宋" w:eastAsia="仿宋" w:cs="仿宋"/>
          <w:bCs/>
          <w:color w:val="auto"/>
          <w:sz w:val="24"/>
          <w:highlight w:val="none"/>
        </w:rPr>
        <w:t xml:space="preserve">内</w:t>
      </w:r>
      <w:r>
        <w:rPr>
          <w:rFonts w:hint="eastAsia" w:ascii="仿宋" w:hAnsi="仿宋" w:eastAsia="仿宋" w:cs="仿宋"/>
          <w:color w:val="auto"/>
          <w:sz w:val="24"/>
          <w:highlight w:val="none"/>
        </w:rPr>
        <w:t xml:space="preserve">，将资金支付到合同约定的乙方账户</w:t>
      </w:r>
      <w:r>
        <w:rPr>
          <w:rFonts w:hint="eastAsia" w:ascii="仿宋" w:hAnsi="仿宋" w:eastAsia="仿宋" w:cs="仿宋"/>
          <w:bCs/>
          <w:color w:val="auto"/>
          <w:sz w:val="24"/>
          <w:highlight w:val="none"/>
          <w:lang w:val="en-US" w:eastAsia="zh-CN"/>
        </w:rPr>
        <w:t xml:space="preserve">。</w:t>
      </w:r>
      <w:r/>
    </w:p>
    <w:p>
      <w:pPr>
        <w:ind w:firstLine="480"/>
        <w:jc w:val="left"/>
        <w:spacing w:line="400" w:lineRule="exact"/>
        <w:widowControl/>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乙方需提交的支付文件包括：</w:t>
      </w:r>
      <w:r/>
    </w:p>
    <w:p>
      <w:pPr>
        <w:ind w:firstLine="480"/>
        <w:jc w:val="left"/>
        <w:spacing w:line="400" w:lineRule="exact"/>
        <w:widowControl/>
        <w:rPr>
          <w:rFonts w:hint="eastAsia" w:ascii="仿宋" w:hAnsi="仿宋" w:eastAsia="仿宋" w:cs="仿宋"/>
          <w:bCs/>
          <w:color w:val="auto"/>
          <w:sz w:val="24"/>
          <w:highlight w:val="none"/>
          <w:lang w:val="en-US" w:eastAsia="zh-CN"/>
        </w:rPr>
      </w:pPr>
      <w:r>
        <w:rPr>
          <w:rFonts w:hint="eastAsia" w:ascii="仿宋" w:hAnsi="仿宋" w:eastAsia="仿宋" w:cs="仿宋"/>
          <w:bCs/>
          <w:color w:val="auto"/>
          <w:sz w:val="24"/>
          <w:highlight w:val="none"/>
        </w:rPr>
        <w:t xml:space="preserve">①</w:t>
      </w:r>
      <w:r>
        <w:rPr>
          <w:rFonts w:hint="eastAsia" w:ascii="仿宋" w:hAnsi="仿宋" w:eastAsia="仿宋" w:cs="仿宋"/>
          <w:bCs/>
          <w:color w:val="auto"/>
          <w:sz w:val="24"/>
          <w:highlight w:val="none"/>
          <w:lang w:val="en-US" w:eastAsia="zh-CN"/>
        </w:rPr>
        <w:t xml:space="preserve">乙方出具当月甲方已经实际确认的订单量的全额正式发票；</w:t>
      </w:r>
      <w:r/>
    </w:p>
    <w:p>
      <w:pPr>
        <w:ind w:firstLine="480"/>
        <w:jc w:val="left"/>
        <w:spacing w:line="400" w:lineRule="exact"/>
        <w:widowControl/>
        <w:rPr>
          <w:rFonts w:hint="default" w:ascii="仿宋" w:hAnsi="仿宋" w:eastAsia="仿宋" w:cs="仿宋"/>
          <w:bCs/>
          <w:color w:val="auto"/>
          <w:sz w:val="24"/>
          <w:highlight w:val="none"/>
          <w:lang w:val="en-US" w:eastAsia="zh-CN"/>
        </w:rPr>
      </w:pPr>
      <w:r>
        <w:rPr>
          <w:rFonts w:hint="eastAsia" w:ascii="仿宋" w:hAnsi="仿宋" w:eastAsia="仿宋" w:cs="仿宋"/>
          <w:bCs/>
          <w:color w:val="auto"/>
          <w:sz w:val="24"/>
          <w:highlight w:val="none"/>
          <w:lang w:val="en-US" w:eastAsia="zh-CN"/>
        </w:rPr>
        <w:t xml:space="preserve">②甲方确认的送货清单。</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付款方式三：</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在签订合同时，乙方明确表示无需预付款的，按以下付款方式支付。（注：此条符合苏财购〔2020〕52号文件要求）。</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甲方按月支付乙方费用，每月1-2次按甲方实际确认的订单量支付。每次付款经甲方验收合格后，甲方自收到发票后10个工作日内，将资金支付到合同约定的乙方账户。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乙方需提交的支付文件包括：</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①乙方出具当月甲方已经实际确认的订单量的全额正式发票；</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②甲方确认的送货清单。</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4.2合同约定的乙方账户：</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开户银行：</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银行帐号：</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4.3其他</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若出现因乙方违约导致双方有争议的情况，待争议解决后3个工作日内甲方再向乙方支付货款，期间造成的经济损失由乙方自行承担。</w:t>
      </w:r>
      <w:r/>
    </w:p>
    <w:p>
      <w:pPr>
        <w:ind w:firstLine="360"/>
        <w:spacing w:line="400" w:lineRule="exact"/>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4.4在预算金额范围内按照实际发生金额据实结算支付，若本合同履行期限内支付超过预算金额，本合同自动终止；若本合同履行期限结束后仍有剩余，作为政府采购预算结余上交财政。</w:t>
      </w:r>
      <w:r/>
    </w:p>
    <w:p>
      <w:pPr>
        <w:jc w:val="left"/>
        <w:spacing w:line="400" w:lineRule="exact"/>
        <w:widowControl/>
        <w:rPr>
          <w:rFonts w:ascii="仿宋" w:hAnsi="仿宋" w:eastAsia="仿宋" w:cs="仿宋"/>
          <w:b/>
          <w:bCs/>
          <w:color w:val="auto"/>
          <w:sz w:val="24"/>
          <w:highlight w:val="none"/>
        </w:rPr>
      </w:pPr>
      <w:r>
        <w:rPr>
          <w:rFonts w:ascii="仿宋" w:hAnsi="仿宋" w:eastAsia="仿宋" w:cs="仿宋"/>
          <w:b/>
          <w:bCs/>
          <w:color w:val="auto"/>
          <w:sz w:val="24"/>
          <w:highlight w:val="none"/>
        </w:rPr>
      </w:r>
      <w:r/>
    </w:p>
    <w:p>
      <w:pPr>
        <w:jc w:val="left"/>
        <w:spacing w:line="4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五、双方权利义务：</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（一）甲方责任： </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5.1合同有效期内，甲方原则上不再从另外渠道进货，如不在供货目录内的食材甲方有权采购或可交乙方采购，采购食材均需符合国家标准；</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5.2甲方每天中午12点前确定下一天的食材项目、数量、质量发至乙方，确定后如遇临时增减、调整，双方协商解决；</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5.3甲方验收时须仔细核对采购清单，认真把好质量、数量、规格、退货、送货单核对签字等环节，向乙方索取食材的检验合格证或者化验单，并做好索证登记工作；确认无误后，在乙方的送货单上签收并留一份存档；甲方需对食材生菜、熟菜分别留样；若发现乙方违规，应按照合同相关条款处理，并记录备案；</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5.4甲方加强教育宣传工作：食堂工作人员要支持、配合乙方工作，使食堂配送工作有序有效进行；对乙方做到不索要，不为难，不马虎；</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5.5甲方如有需要，可约见乙方，当面商定进一步完善工作的措施。</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（二）乙方责任：</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5.6乙方必须严格履行投标时的一切承诺；</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5.7乙方承接甲方的食材配送工作，按时保质保量按要求从事配送工作；</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5.8乙方应服从相关职能部门的业务指导和监管及检查；</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5.9乙方根据投标书的有关承诺条款，联系配送工作的具体情况，严格执行《中华人民共和国食品安全法》的规定，建立并自觉履行食品卫生安全和食品质量的保障机制，确保安全；</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5.10乙方必须根据约定和甲方提出的品种、规格、数量、质量等要求送货，并在规定的时间内及时送到；每日的配送清单须是打印稿，做到证货同行、证货相符；</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5.12乙方每次配送均需提供配送食材的检测报告、食材检验合格证等合格证明材料。如肉类制品必须是定点屠宰且经检疫合格，蔬菜应有农药残留检测证明等；</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5.13乙方向甲方提供食材的规格、价格必须符合甲方要求，严禁以次充好或者擅自提价；</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5.14乙方除应做好服务人员的安全教育外，还应为服务人员提供必要的劳动保护条件，为服务人员办理作业时的人身安全保险和意外伤害险，一切安全责任事故均由乙方负责；</w:t>
      </w:r>
      <w:r/>
    </w:p>
    <w:p>
      <w:pPr>
        <w:ind w:firstLine="480"/>
        <w:jc w:val="left"/>
        <w:spacing w:line="400" w:lineRule="exact"/>
        <w:widowControl/>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5.15乙方所供食材，必须符合《中华人民共和国食品安全法》标准，如不符合乙方必须无条件退货或换货，并承担由此造成的一切不良后果的。</w:t>
      </w:r>
      <w:r/>
    </w:p>
    <w:p>
      <w:pPr>
        <w:ind w:firstLine="361"/>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361"/>
        <w:spacing w:line="4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六、质量标准和检验</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（一）质量标准</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6.1乙方所供应的食品数量不得短缺，质量必须符合国家《食品安全法》等有关法律法规和《餐饮业和集体用餐配送单位卫生规范》等相关产品国家标准，特殊物品应符合行业内通用标准。所供食品均符合《国家食品卫生标准》、《食品卫生法》和《动物检疫法》等相关规定。乙方提供的所有蔬菜、水果、豆、粮、油等均</w:t>
      </w:r>
      <w:r>
        <w:rPr>
          <w:rFonts w:hint="eastAsia" w:ascii="仿宋" w:hAnsi="仿宋" w:eastAsia="仿宋" w:cs="仿宋"/>
          <w:color w:val="auto"/>
          <w:sz w:val="24"/>
          <w:highlight w:val="none"/>
        </w:rPr>
        <w:t xml:space="preserve">须为非转基因产品。蔬菜水果类应保持较好的色泽和新鲜度，不得有黄叶、腐烂、泥沙等现象，属于无公害蔬菜水果；冷冻类及干货应在保质期范围内，并保持较好的外观和等级，须是正规厂家出品并具有合格证书的优质产品；鲜肉类全部来源于国家认可的正规肉联厂，并经政府相关检验合格；水产品必须新鲜，河鲜产品必须鲜活；粮油、副食、调料等由大型正规厂商出品，相关证件齐全。严禁配送假冒、变质、过期的产品，不得弄虚作假或以次充好，对于不符合质量要求的物品甲方食堂有权要求乙方及时退货或换货，乙方必须无条件退换，由此产生的一切后果由乙方承担。</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6.2乙方为满足质量标准提供的技术方案详见合同附件2。</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6.3乙方为满足质量标准提供的人员和车辆配备方案详见合同附件3。</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6.4乙方未满足质量标准提供的退换货承诺方案详见合同附件4。</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（二）验收检验</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6.5甲方食堂每天对供应食品的品名、规格、数量、单价和质量进行现场验收，以甲方食堂的验货数量为准，乙方每次随货附一式三份盖章的送货清单，供甲方食堂验货后签字确认，甲方食堂执一份，乙方执二份，作为送、收货的凭证。若乙方供应食品运输损坏率较高且影响甲方食堂正常使用，或原材料已验收入库但在甲方食堂使用的过程中发现配送商品不合格，甲方食堂有权要求乙方及时退换，并按合同约定要求乙方支付违约金，乙方必须无条件退换，由此产生的一切后果由乙方承担。</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（三）供应时间（具体以甲方食堂要求为准）</w:t>
      </w:r>
      <w:r/>
    </w:p>
    <w:p>
      <w:pPr>
        <w:ind w:firstLine="36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必须于供货日09：00前将甲方食堂所需食品送至指定地点进行验收，因迟到时间长而造成甲方食堂无法正常供餐的，甲方食堂有权追究乙方相关经济、法律责任。遇有特殊任务或其他情况，应以甲方食堂具体要求为准。非正常工作时间，遇特殊情况，乙方要为甲方食堂提供紧急配送服务，甲方食堂电话通知，90分钟内送达。</w:t>
      </w:r>
      <w:r/>
    </w:p>
    <w:p>
      <w:pPr>
        <w:ind w:firstLine="482"/>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4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七 包装与标记</w:t>
      </w:r>
      <w:r/>
    </w:p>
    <w:p>
      <w:pPr>
        <w:ind w:firstLine="54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7.1 商品（合同标的）包装具体要求：见《关于印发《商品包装政府采购需求标准（试行）》、 《快递包装政府采购需求标准（试行）》的通知》（财办库〔2020〕123号）中《商品包装政府采购需求标准（试行）》。</w:t>
      </w:r>
      <w:r/>
    </w:p>
    <w:p>
      <w:pPr>
        <w:ind w:firstLine="540"/>
        <w:spacing w:line="400" w:lineRule="exact"/>
        <w:rPr>
          <w:rFonts w:ascii="仿宋" w:hAnsi="仿宋" w:eastAsia="仿宋" w:cs="仿宋"/>
          <w:b/>
          <w:bCs/>
          <w:color w:val="auto"/>
          <w:sz w:val="24"/>
          <w:highlight w:val="none"/>
        </w:rPr>
      </w:pPr>
      <w:r>
        <w:rPr>
          <w:rFonts w:hint="eastAsia" w:ascii="仿宋" w:hAnsi="仿宋" w:eastAsia="仿宋" w:cs="仿宋"/>
          <w:color w:val="auto"/>
          <w:sz w:val="24"/>
          <w:highlight w:val="none"/>
        </w:rPr>
        <w:t xml:space="preserve">7.2快递包装具体要求：见《关于印发《商品包装政府采购需求标准（试行）》、 《快递包装政府采购需求标准（试行）》的通知》（财办库〔2020〕123号）中《快递包装政府采购需求标准（试行）》。</w:t>
      </w:r>
      <w:r/>
    </w:p>
    <w:p>
      <w:pPr>
        <w:ind w:firstLine="361"/>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4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八、违约责任</w:t>
      </w:r>
      <w:r/>
    </w:p>
    <w:p>
      <w:pPr>
        <w:ind w:firstLine="54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（一）甲方违约责任</w:t>
      </w:r>
      <w:r/>
    </w:p>
    <w:p>
      <w:pPr>
        <w:ind w:firstLine="54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乙方按合同履约，甲方按合同约定支付食堂食材费用，甲方每逾期10天，甲方向乙方支付当次应支付食堂食材费用（0.1）%的违约金，但违约金的总数不超过当次应支付食堂食材费用的（1）%。</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（二）乙方违约责任</w:t>
      </w:r>
      <w:r/>
    </w:p>
    <w:p>
      <w:pPr>
        <w:ind w:firstLine="528"/>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8.1数量违约</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应按照甲方食堂要求的数量足额供应，如发现乙方存在主观故意或弄虚作假，第一次发现，扣除当日货款的10%；第二次发现，扣除当周货款的10%；第三次发现，扣除当月货款的10%，并立即终止合同，且3年内不得参与甲方食品供应工作。</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8.2质量违约</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甲方每月对乙方所供应商品随机抽取进行送检，送检品类及抽取次数由甲方决定。乙方应按照国家食品安全相关规定及甲方对菜品质量的要求进行送货。</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方食堂如发现不符合合同规定的货品，乙方应无条件收回所供应的货物品并给予甲方食堂书面答复说明原因，并在1小时内更换好所需货品，由此造成的损失和影响由乙方负责。第一次验收不合格，甲方发出书面警告，第二次则按￥3000.00 元进行罚款，第三次甲方有权解除供货合同。</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关于留样与抽查送检：甲方食堂将对每批次配送的货品进行留样保存，并每月随机抽样送检一次，送检费用由乙方承担。如有食品卫生安全监督部门或相关部门对货品进行检查，乙方须全力配合，不得找任何借口推脱。</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8.3服务违约</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因乙方未按时配送食材至甲方食堂指定地点，影响伙食保障工作正常开展，第一次发现，扣除当日货款的2%；第二次发现，扣除当周货款的2%；第三次发现，扣除当月货款的2%，并立即终止合同，且3年内不得参与甲方食品供应工作。甲方每月组织人员进行供应情况调查，对不符合食材供应要求的，提出口头或书面整改意见，乙方应严格按甲方要求及时整改。</w:t>
      </w:r>
      <w:r/>
    </w:p>
    <w:p>
      <w:pPr>
        <w:ind w:firstLine="480"/>
        <w:jc w:val="left"/>
        <w:spacing w:after="120" w:line="400" w:lineRule="exact"/>
        <w:rPr>
          <w:rFonts w:ascii="仿宋" w:hAnsi="仿宋" w:eastAsia="仿宋" w:cs="仿宋"/>
          <w:bCs/>
          <w:color w:val="auto"/>
          <w:sz w:val="24"/>
          <w:highlight w:val="none"/>
        </w:rPr>
      </w:pPr>
      <w:r>
        <w:rPr>
          <w:rFonts w:hint="eastAsia" w:ascii="仿宋" w:hAnsi="仿宋" w:eastAsia="仿宋" w:cs="仿宋"/>
          <w:bCs/>
          <w:color w:val="auto"/>
          <w:sz w:val="24"/>
          <w:highlight w:val="none"/>
        </w:rPr>
        <w:t xml:space="preserve">对于部分需要初加工商品，乙方须严格按照甲方要求的流程规范等标准执行操作，若乙方具备能力却不按标准处理，甲方有权拒收并</w:t>
      </w:r>
      <w:r>
        <w:rPr>
          <w:rFonts w:hint="eastAsia" w:ascii="仿宋" w:hAnsi="仿宋" w:eastAsia="仿宋" w:cs="仿宋"/>
          <w:color w:val="auto"/>
          <w:sz w:val="24"/>
          <w:highlight w:val="none"/>
        </w:rPr>
        <w:t xml:space="preserve">扣除当日货款的2%</w:t>
      </w:r>
      <w:r>
        <w:rPr>
          <w:rFonts w:hint="eastAsia" w:ascii="仿宋" w:hAnsi="仿宋" w:eastAsia="仿宋" w:cs="仿宋"/>
          <w:bCs/>
          <w:color w:val="auto"/>
          <w:sz w:val="24"/>
          <w:highlight w:val="none"/>
        </w:rPr>
        <w:t xml:space="preserve">，且由乙方承担相应损失，两次</w:t>
      </w:r>
      <w:r>
        <w:rPr>
          <w:rFonts w:hint="eastAsia" w:ascii="仿宋" w:hAnsi="仿宋" w:eastAsia="仿宋" w:cs="仿宋"/>
          <w:color w:val="auto"/>
          <w:sz w:val="24"/>
          <w:highlight w:val="none"/>
        </w:rPr>
        <w:t xml:space="preserve">甲方有权解除供货合同。</w:t>
      </w:r>
      <w:r/>
    </w:p>
    <w:p>
      <w:pPr>
        <w:ind w:right="6" w:firstLine="480"/>
        <w:spacing w:line="40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送货人员（含驾驶员）必须不低于3名，具有相应资质，并保证配送人员的相对固定；统一使用冷链车进行配送，并依据相关配送要求有序堆放，确保配送商品质量</w:t>
      </w:r>
      <w:r/>
    </w:p>
    <w:p>
      <w:pPr>
        <w:ind w:firstLine="480"/>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因乙方在服务期中途无故终止履行合同拒不配送的，乙方应向甲方支付本项目预算总额5%的违约金，如造成甲方损失超过违约金的，超出部分由乙方继续承担赔偿责任。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8.4保密违约</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乙方严格遵守各项保密规定，在配送期间应按照甲方管理规定约束自身行为；对甲方各类供应情况不得提供给任何其他单位或个人，否则按国家相关法律法规处理。</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8.5价格违约</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合同签订后，甲方成立价格核查小组，核查小组对乙方供货单的基准单价和优惠率进行不定期抽查，如发现乙方供货单中的单价高于徐州市发展和改革委员会网站“民生均价监测”最新公布的同类食材单价，</w:t>
      </w:r>
      <w:r>
        <w:rPr>
          <w:rFonts w:hint="eastAsia" w:ascii="仿宋" w:hAnsi="仿宋" w:eastAsia="仿宋" w:cs="仿宋"/>
          <w:color w:val="auto"/>
          <w:sz w:val="24"/>
          <w:highlight w:val="none"/>
          <w:lang w:val="en-US" w:eastAsia="zh-CN"/>
        </w:rPr>
        <w:t xml:space="preserve">或</w:t>
      </w:r>
      <w:r>
        <w:rPr>
          <w:rFonts w:hint="eastAsia" w:ascii="仿宋" w:hAnsi="仿宋" w:eastAsia="仿宋" w:cs="仿宋"/>
          <w:color w:val="auto"/>
          <w:sz w:val="24"/>
          <w:highlight w:val="none"/>
        </w:rPr>
        <w:t xml:space="preserve">每周四昆仑农贸市场（市政府附近）、惠民农贸市场同品种同规格产品的平均单价或未按中标优惠率下浮，第一次发现，扣除当日货款的5%；第二次发现，扣除当周货款的5%；第三次发现，扣除当月货款的5%，并立即终止合同，且3年内不得参与甲方食品供应工作。乙方不得随意提价或以次充好，如有此类行为，甲方有权终止本合同，乙方须承担相应的违约责任。</w:t>
      </w:r>
      <w:r/>
    </w:p>
    <w:p>
      <w:pPr>
        <w:ind w:firstLine="482"/>
        <w:jc w:val="left"/>
        <w:spacing w:line="40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九、转包或分包：</w:t>
      </w:r>
      <w:r/>
    </w:p>
    <w:p>
      <w:pPr>
        <w:ind w:firstLine="480"/>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1、本合同范围的服务，应由乙方直接提供，不得转让他人提供；</w:t>
      </w:r>
      <w:r/>
    </w:p>
    <w:p>
      <w:pPr>
        <w:ind w:firstLine="480"/>
        <w:jc w:val="left"/>
        <w:spacing w:line="400" w:lineRule="exac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2、如有转包和分包行为，甲方有权给予终止合同。</w:t>
      </w:r>
      <w:r/>
    </w:p>
    <w:p>
      <w:pPr>
        <w:ind w:firstLine="482"/>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ind w:firstLine="482"/>
        <w:spacing w:line="4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十、</w:t>
      </w:r>
      <w:r>
        <w:rPr>
          <w:rFonts w:hint="eastAsia" w:ascii="仿宋" w:hAnsi="仿宋" w:eastAsia="仿宋" w:cs="仿宋"/>
          <w:color w:val="auto"/>
          <w:sz w:val="24"/>
          <w:highlight w:val="none"/>
        </w:rPr>
        <w:t xml:space="preserve">本合同在下列条件全部满足后生效，生效日期以下列条件全部满足的最晚日期为准：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 双方加盖公章或合同专用章； </w:t>
      </w:r>
      <w:r/>
    </w:p>
    <w:p>
      <w:pPr>
        <w:ind w:firstLine="480"/>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4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十一、</w:t>
      </w:r>
      <w:r>
        <w:rPr>
          <w:rFonts w:hint="eastAsia" w:ascii="仿宋" w:hAnsi="仿宋" w:eastAsia="仿宋" w:cs="仿宋"/>
          <w:color w:val="auto"/>
          <w:sz w:val="24"/>
          <w:highlight w:val="none"/>
        </w:rPr>
        <w:t xml:space="preserve"> 合同的双方当事人在合同履行期内不得擅自变更、中止或者终止合同（涉及合同规定的终止合同条款除外），如未经双方同意，擅自变更或中止此项的一方要负违约责任。</w:t>
      </w:r>
      <w:r/>
    </w:p>
    <w:p>
      <w:pPr>
        <w:ind w:firstLine="480"/>
        <w:jc w:val="left"/>
        <w:spacing w:line="400" w:lineRule="exac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482"/>
        <w:jc w:val="left"/>
        <w:spacing w:line="400" w:lineRule="exact"/>
        <w:widowControl/>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十二、</w:t>
      </w:r>
      <w:r>
        <w:rPr>
          <w:rFonts w:hint="eastAsia" w:ascii="仿宋" w:hAnsi="仿宋" w:eastAsia="仿宋" w:cs="仿宋"/>
          <w:color w:val="auto"/>
          <w:sz w:val="24"/>
          <w:highlight w:val="none"/>
        </w:rPr>
        <w:t xml:space="preserve"> 双方约定，在履行合同过程中产生争议时，应通过友好协商解决，若协商不成可向甲方所在地人民法院提起诉讼。</w:t>
      </w:r>
      <w:r/>
    </w:p>
    <w:p>
      <w:pPr>
        <w:ind w:firstLine="480"/>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2"/>
        <w:spacing w:line="4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十三、</w:t>
      </w:r>
      <w:r>
        <w:rPr>
          <w:rFonts w:hint="eastAsia" w:ascii="仿宋" w:hAnsi="仿宋" w:eastAsia="仿宋" w:cs="仿宋"/>
          <w:color w:val="auto"/>
          <w:sz w:val="24"/>
          <w:highlight w:val="none"/>
        </w:rPr>
        <w:t xml:space="preserve"> 合同其他未尽事宜及与招标文件有矛盾之处，以招标文件[项目编号：</w:t>
      </w: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eastAsia="zh-CN"/>
        </w:rPr>
        <w:t xml:space="preserve">JSZC-320300-HCGS-G2025-0013</w:t>
      </w:r>
      <w:r>
        <w:rPr>
          <w:rFonts w:hint="eastAsia" w:ascii="仿宋" w:hAnsi="仿宋" w:eastAsia="仿宋" w:cs="仿宋"/>
          <w:color w:val="auto"/>
          <w:sz w:val="24"/>
          <w:highlight w:val="none"/>
        </w:rPr>
        <w:t xml:space="preserve">]为准。</w:t>
      </w:r>
      <w:r/>
    </w:p>
    <w:p>
      <w:pPr>
        <w:ind w:firstLine="480"/>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firstLine="482"/>
        <w:spacing w:line="4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十四、</w:t>
      </w:r>
      <w:r>
        <w:rPr>
          <w:rFonts w:hint="eastAsia" w:ascii="仿宋" w:hAnsi="仿宋" w:eastAsia="仿宋" w:cs="仿宋"/>
          <w:color w:val="auto"/>
          <w:sz w:val="24"/>
          <w:highlight w:val="none"/>
        </w:rPr>
        <w:t xml:space="preserve"> 合同一式</w:t>
      </w:r>
      <w:r>
        <w:rPr>
          <w:rFonts w:hint="eastAsia" w:ascii="仿宋" w:hAnsi="仿宋" w:eastAsia="仿宋" w:cs="仿宋"/>
          <w:color w:val="auto"/>
          <w:sz w:val="24"/>
          <w:highlight w:val="none"/>
          <w:u w:val="single"/>
        </w:rPr>
        <w:t xml:space="preserve">四</w:t>
      </w:r>
      <w:r>
        <w:rPr>
          <w:rFonts w:hint="eastAsia" w:ascii="仿宋" w:hAnsi="仿宋" w:eastAsia="仿宋" w:cs="仿宋"/>
          <w:color w:val="auto"/>
          <w:sz w:val="24"/>
          <w:highlight w:val="none"/>
        </w:rPr>
        <w:t xml:space="preserve">份，具有同等法律效力，甲方</w:t>
      </w:r>
      <w:r>
        <w:rPr>
          <w:rFonts w:hint="eastAsia" w:ascii="仿宋" w:hAnsi="仿宋" w:eastAsia="仿宋" w:cs="仿宋"/>
          <w:color w:val="auto"/>
          <w:sz w:val="24"/>
          <w:highlight w:val="none"/>
          <w:u w:val="single"/>
        </w:rPr>
        <w:t xml:space="preserve">贰 </w:t>
      </w:r>
      <w:r>
        <w:rPr>
          <w:rFonts w:hint="eastAsia" w:ascii="仿宋" w:hAnsi="仿宋" w:eastAsia="仿宋" w:cs="仿宋"/>
          <w:color w:val="auto"/>
          <w:sz w:val="24"/>
          <w:highlight w:val="none"/>
        </w:rPr>
        <w:t xml:space="preserve">份，乙方</w:t>
      </w:r>
      <w:r>
        <w:rPr>
          <w:rFonts w:hint="eastAsia" w:ascii="仿宋" w:hAnsi="仿宋" w:eastAsia="仿宋" w:cs="仿宋"/>
          <w:color w:val="auto"/>
          <w:sz w:val="24"/>
          <w:highlight w:val="none"/>
          <w:u w:val="single"/>
        </w:rPr>
        <w:t xml:space="preserve">贰</w:t>
      </w:r>
      <w:r>
        <w:rPr>
          <w:rFonts w:hint="eastAsia" w:ascii="仿宋" w:hAnsi="仿宋" w:eastAsia="仿宋" w:cs="仿宋"/>
          <w:color w:val="auto"/>
          <w:sz w:val="24"/>
          <w:highlight w:val="none"/>
        </w:rPr>
        <w:t xml:space="preserve">份。</w:t>
      </w:r>
      <w:r/>
    </w:p>
    <w:p>
      <w:pPr>
        <w:contextualSpacing/>
        <w:ind w:firstLine="480"/>
        <w:spacing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contextualSpacing/>
        <w:ind w:firstLine="482"/>
        <w:spacing w:line="400" w:lineRule="exact"/>
        <w:rPr>
          <w:rFonts w:ascii="仿宋" w:hAnsi="仿宋" w:eastAsia="仿宋" w:cs="仿宋"/>
          <w:color w:val="auto"/>
          <w:sz w:val="24"/>
          <w:highlight w:val="none"/>
        </w:rPr>
      </w:pPr>
      <w:r>
        <w:rPr>
          <w:rFonts w:hint="eastAsia" w:ascii="仿宋" w:hAnsi="仿宋" w:eastAsia="仿宋" w:cs="仿宋"/>
          <w:b/>
          <w:bCs/>
          <w:color w:val="auto"/>
          <w:sz w:val="24"/>
          <w:highlight w:val="none"/>
        </w:rPr>
        <w:t xml:space="preserve">十五、</w:t>
      </w:r>
      <w:r>
        <w:rPr>
          <w:rFonts w:hint="eastAsia" w:ascii="仿宋" w:hAnsi="仿宋" w:eastAsia="仿宋" w:cs="仿宋"/>
          <w:color w:val="auto"/>
          <w:sz w:val="24"/>
          <w:highlight w:val="none"/>
        </w:rPr>
        <w:t xml:space="preserve"> 按照《财政部关于做好政府采购信息公开工作的通知》（财库〔2015〕135号），甲方依据《保守国家秘密法》等法律制度规定确定本合同</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部分涉及国家秘密，该涉及国家秘密部分不公告；甲方依据《反不正当竞争法》等法律制度的规定与乙方约定本合同</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部分涉及商业秘密，该涉及商业秘密部分不公告。</w:t>
      </w:r>
      <w:r/>
    </w:p>
    <w:p>
      <w:pPr>
        <w:contextualSpacing/>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contextualSpacing/>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甲   方                                           乙   方 </w:t>
      </w:r>
      <w:r/>
    </w:p>
    <w:p>
      <w:pPr>
        <w:contextualSpacing/>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单位签章：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                                  单位签章： </w:t>
      </w:r>
      <w:r/>
    </w:p>
    <w:p>
      <w:pPr>
        <w:contextualSpacing/>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单位地址：                                      单位地址：</w:t>
      </w:r>
      <w:r/>
    </w:p>
    <w:p>
      <w:pPr>
        <w:contextualSpacing/>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开户银行：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 xml:space="preserve">                                  开户银行：</w:t>
      </w:r>
      <w:r/>
    </w:p>
    <w:p>
      <w:pPr>
        <w:contextualSpacing/>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银行帐号：                                      银行帐号：</w:t>
      </w:r>
      <w:r/>
    </w:p>
    <w:p>
      <w:pPr>
        <w:contextualSpacing/>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联 系 人：                                      联 系 人：</w:t>
      </w:r>
      <w:r/>
    </w:p>
    <w:p>
      <w:pPr>
        <w:contextualSpacing/>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联系电话：                                      联系电话：</w:t>
      </w:r>
      <w:r/>
    </w:p>
    <w:p>
      <w:pPr>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日期：   </w:t>
      </w:r>
      <w:r/>
    </w:p>
    <w:p>
      <w:pPr>
        <w:jc w:val="center"/>
        <w:pageBreakBefore/>
        <w:rPr>
          <w:rFonts w:ascii="仿宋" w:hAnsi="仿宋" w:eastAsia="仿宋" w:cs="仿宋"/>
          <w:color w:val="auto"/>
          <w:sz w:val="30"/>
          <w:szCs w:val="30"/>
          <w:highlight w:val="none"/>
        </w:rPr>
      </w:pPr>
      <w:r>
        <w:rPr>
          <w:rFonts w:hint="eastAsia" w:ascii="仿宋" w:hAnsi="仿宋" w:eastAsia="仿宋" w:cs="仿宋"/>
          <w:color w:val="auto"/>
          <w:sz w:val="24"/>
          <w:highlight w:val="none"/>
        </w:rPr>
        <w:t xml:space="preserve">     </w:t>
      </w:r>
      <w:r>
        <w:rPr>
          <w:rFonts w:hint="eastAsia" w:ascii="仿宋" w:hAnsi="仿宋" w:eastAsia="仿宋" w:cs="仿宋"/>
          <w:color w:val="auto"/>
          <w:sz w:val="30"/>
          <w:szCs w:val="30"/>
          <w:highlight w:val="none"/>
        </w:rPr>
        <w:t xml:space="preserve">合同附件</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contextualSpacing/>
        <w:spacing w:before="240"/>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合同附件1：采购需求（见招标文件第六章《采购需求》）</w:t>
      </w:r>
      <w:r/>
    </w:p>
    <w:p>
      <w:pPr>
        <w:contextualSpacing/>
        <w:spacing w:before="240"/>
        <w:rPr>
          <w:rFonts w:ascii="仿宋" w:hAnsi="仿宋" w:eastAsia="仿宋" w:cs="仿宋"/>
          <w:color w:val="auto"/>
          <w:sz w:val="24"/>
          <w:highlight w:val="none"/>
        </w:rPr>
      </w:pPr>
      <w:r>
        <w:rPr>
          <w:rFonts w:ascii="仿宋" w:hAnsi="仿宋" w:eastAsia="仿宋" w:cs="仿宋"/>
          <w:color w:val="auto"/>
          <w:sz w:val="24"/>
          <w:highlight w:val="none"/>
        </w:rPr>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合同附件2：技术要求（要求见招标文件第六章《采购需求》；合同见乙方投标文件中</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技术方案》。）</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合同附件3：人员和车辆配备要求（要求见招标文件第六章《采购需求》；合同见乙方投标文件中</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人员和车辆配备</w:t>
      </w:r>
      <w:r>
        <w:rPr>
          <w:rFonts w:hint="eastAsia" w:ascii="仿宋" w:hAnsi="仿宋" w:eastAsia="仿宋" w:cs="仿宋"/>
          <w:bCs/>
          <w:color w:val="auto"/>
          <w:sz w:val="24"/>
          <w:highlight w:val="none"/>
        </w:rPr>
        <w:t xml:space="preserve">方案</w:t>
      </w:r>
      <w:r>
        <w:rPr>
          <w:rFonts w:hint="eastAsia" w:ascii="仿宋" w:hAnsi="仿宋" w:eastAsia="仿宋" w:cs="仿宋"/>
          <w:color w:val="auto"/>
          <w:sz w:val="24"/>
          <w:highlight w:val="none"/>
        </w:rPr>
        <w:t xml:space="preserve">》。）</w:t>
      </w:r>
      <w:r/>
    </w:p>
    <w:p>
      <w:pPr>
        <w:jc w:val="left"/>
        <w:rPr>
          <w:rFonts w:ascii="仿宋" w:hAnsi="仿宋" w:eastAsia="仿宋" w:cs="仿宋"/>
          <w:color w:val="auto"/>
          <w:sz w:val="24"/>
          <w:highlight w:val="none"/>
        </w:rPr>
      </w:pPr>
      <w:r>
        <w:rPr>
          <w:rFonts w:ascii="仿宋" w:hAnsi="仿宋" w:eastAsia="仿宋" w:cs="仿宋"/>
          <w:color w:val="auto"/>
          <w:sz w:val="24"/>
          <w:highlight w:val="none"/>
        </w:rPr>
      </w:r>
      <w:r/>
    </w:p>
    <w:p>
      <w:pPr>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合同附件4：退换货要求（要求见招标文件第六章《采购需求》；合同见乙方投标文件中</w:t>
      </w:r>
      <w:r>
        <w:rPr>
          <w:rFonts w:hint="eastAsia" w:ascii="仿宋" w:hAnsi="仿宋" w:eastAsia="仿宋" w:cs="仿宋"/>
          <w:bCs/>
          <w:color w:val="auto"/>
          <w:sz w:val="24"/>
          <w:highlight w:val="none"/>
        </w:rPr>
        <w:t xml:space="preserve">《</w:t>
      </w:r>
      <w:r>
        <w:rPr>
          <w:rFonts w:hint="eastAsia" w:ascii="仿宋" w:hAnsi="仿宋" w:eastAsia="仿宋" w:cs="仿宋"/>
          <w:color w:val="auto"/>
          <w:sz w:val="24"/>
          <w:highlight w:val="none"/>
        </w:rPr>
        <w:t xml:space="preserve">退换货承诺</w:t>
      </w:r>
      <w:r>
        <w:rPr>
          <w:rFonts w:hint="eastAsia" w:ascii="仿宋" w:hAnsi="仿宋" w:eastAsia="仿宋" w:cs="仿宋"/>
          <w:bCs/>
          <w:color w:val="auto"/>
          <w:sz w:val="24"/>
          <w:highlight w:val="none"/>
        </w:rPr>
        <w:t xml:space="preserve">方案</w:t>
      </w:r>
      <w:r>
        <w:rPr>
          <w:rFonts w:hint="eastAsia" w:ascii="仿宋" w:hAnsi="仿宋" w:eastAsia="仿宋" w:cs="仿宋"/>
          <w:color w:val="auto"/>
          <w:sz w:val="24"/>
          <w:highlight w:val="none"/>
        </w:rPr>
        <w:t xml:space="preserve">》。）</w:t>
      </w:r>
      <w:r/>
    </w:p>
    <w:p>
      <w:pP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ind w:firstLine="562"/>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第六章 </w:t>
      </w:r>
      <w:r>
        <w:rPr>
          <w:rFonts w:hint="eastAsia" w:ascii="仿宋" w:hAnsi="仿宋" w:eastAsia="仿宋" w:cs="仿宋"/>
          <w:b/>
          <w:bCs/>
          <w:color w:val="auto"/>
          <w:sz w:val="28"/>
          <w:szCs w:val="28"/>
          <w:highlight w:val="none"/>
        </w:rPr>
        <w:t xml:space="preserve">采购需求</w:t>
      </w:r>
      <w:r/>
    </w:p>
    <w:p>
      <w:pPr>
        <w:ind w:firstLine="482"/>
        <w:jc w:val="left"/>
        <w:spacing w:line="440" w:lineRule="exact"/>
        <w:widowControl/>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一、项目概况</w:t>
      </w:r>
      <w:r/>
    </w:p>
    <w:p>
      <w:pPr>
        <w:contextualSpacing/>
        <w:ind w:firstLine="480"/>
        <w:jc w:val="left"/>
        <w:spacing w:before="240"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（一）采购人：徐州市检验检测中心</w:t>
      </w:r>
      <w:r/>
    </w:p>
    <w:p>
      <w:pPr>
        <w:contextualSpacing/>
        <w:ind w:firstLine="480"/>
        <w:jc w:val="left"/>
        <w:spacing w:before="240"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（二）项目名称：</w:t>
      </w:r>
      <w:bookmarkStart w:id="4" w:name="_GoBack"/>
      <w:r>
        <w:rPr>
          <w:rFonts w:hint="eastAsia" w:ascii="仿宋" w:hAnsi="仿宋" w:eastAsia="仿宋" w:cs="仿宋"/>
          <w:color w:val="auto"/>
          <w:sz w:val="24"/>
          <w:szCs w:val="20"/>
          <w:highlight w:val="none"/>
        </w:rPr>
        <w:t xml:space="preserve">徐州市检验检测中心餐厅原材料配送</w:t>
      </w:r>
      <w:bookmarkEnd w:id="4"/>
      <w:r/>
      <w:r/>
    </w:p>
    <w:p>
      <w:pPr>
        <w:contextualSpacing/>
        <w:ind w:firstLine="480"/>
        <w:jc w:val="left"/>
        <w:spacing w:before="240" w:line="440" w:lineRule="exact"/>
        <w:widowControl/>
        <w:tabs>
          <w:tab w:val="left" w:pos="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（三）预算金额：</w:t>
      </w:r>
      <w:r>
        <w:rPr>
          <w:rFonts w:hint="eastAsia" w:ascii="仿宋" w:hAnsi="仿宋" w:eastAsia="仿宋" w:cs="仿宋"/>
          <w:color w:val="auto"/>
          <w:sz w:val="24"/>
          <w:szCs w:val="20"/>
          <w:highlight w:val="none"/>
          <w:lang w:val="en-US" w:eastAsia="zh-CN"/>
        </w:rPr>
        <w:t xml:space="preserve">120</w:t>
      </w:r>
      <w:r>
        <w:rPr>
          <w:rFonts w:hint="eastAsia" w:ascii="仿宋" w:hAnsi="仿宋" w:eastAsia="仿宋" w:cs="仿宋"/>
          <w:color w:val="auto"/>
          <w:sz w:val="24"/>
          <w:szCs w:val="20"/>
          <w:highlight w:val="none"/>
        </w:rPr>
        <w:t xml:space="preserve">万元人民币</w:t>
      </w:r>
      <w:r/>
    </w:p>
    <w:p>
      <w:pPr>
        <w:contextualSpacing/>
        <w:ind w:firstLine="480"/>
        <w:jc w:val="left"/>
        <w:spacing w:before="240" w:line="440" w:lineRule="exact"/>
        <w:widowControl/>
        <w:tabs>
          <w:tab w:val="left" w:pos="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（四）</w:t>
      </w:r>
      <w:bookmarkStart w:id="1" w:name="_Hlk71793935"/>
      <w:r>
        <w:rPr>
          <w:rFonts w:hint="eastAsia" w:ascii="仿宋" w:hAnsi="仿宋" w:eastAsia="仿宋" w:cs="仿宋"/>
          <w:color w:val="auto"/>
          <w:sz w:val="24"/>
          <w:szCs w:val="20"/>
          <w:highlight w:val="none"/>
        </w:rPr>
        <w:t xml:space="preserve">服务期限：</w:t>
      </w:r>
      <w:bookmarkEnd w:id="1"/>
      <w:r>
        <w:rPr>
          <w:rFonts w:hint="eastAsia" w:ascii="仿宋" w:hAnsi="仿宋" w:eastAsia="仿宋" w:cs="仿宋"/>
          <w:color w:val="auto"/>
          <w:sz w:val="24"/>
          <w:szCs w:val="20"/>
          <w:highlight w:val="none"/>
        </w:rPr>
        <w:t xml:space="preserve">1年</w:t>
      </w:r>
      <w:r/>
    </w:p>
    <w:p>
      <w:pPr>
        <w:contextualSpacing/>
        <w:ind w:firstLine="480"/>
        <w:jc w:val="left"/>
        <w:spacing w:before="240" w:line="440" w:lineRule="exact"/>
        <w:widowControl/>
        <w:tabs>
          <w:tab w:val="left" w:pos="0" w:leader="none"/>
        </w:tabs>
        <w:rPr>
          <w:rFonts w:hint="eastAsia" w:ascii="仿宋" w:hAnsi="仿宋" w:eastAsia="仿宋" w:cs="仿宋"/>
          <w:color w:val="auto"/>
          <w:sz w:val="24"/>
          <w:szCs w:val="20"/>
          <w:highlight w:val="none"/>
          <w:lang w:val="en-US" w:eastAsia="zh-CN"/>
        </w:rPr>
      </w:pPr>
      <w:r>
        <w:rPr>
          <w:rFonts w:hint="eastAsia" w:ascii="仿宋" w:hAnsi="仿宋" w:eastAsia="仿宋" w:cs="仿宋"/>
          <w:color w:val="auto"/>
          <w:sz w:val="24"/>
          <w:szCs w:val="20"/>
          <w:highlight w:val="none"/>
          <w:lang w:val="en-US" w:eastAsia="zh-CN"/>
        </w:rPr>
        <w:t xml:space="preserve">（五）</w:t>
      </w:r>
      <w:r>
        <w:rPr>
          <w:rFonts w:hint="eastAsia" w:ascii="仿宋" w:hAnsi="仿宋" w:eastAsia="仿宋" w:cs="仿宋"/>
          <w:color w:val="auto"/>
          <w:sz w:val="24"/>
          <w:szCs w:val="20"/>
          <w:highlight w:val="none"/>
        </w:rPr>
        <w:t xml:space="preserve">配送地点：徐州市云龙区商聚路12号</w:t>
      </w:r>
      <w:r>
        <w:rPr>
          <w:rFonts w:hint="eastAsia" w:ascii="仿宋" w:hAnsi="仿宋" w:eastAsia="仿宋" w:cs="仿宋"/>
          <w:color w:val="auto"/>
          <w:sz w:val="24"/>
          <w:szCs w:val="20"/>
          <w:highlight w:val="none"/>
          <w:lang w:eastAsia="zh-CN"/>
        </w:rPr>
        <w:t xml:space="preserve">。</w:t>
      </w:r>
      <w:r/>
    </w:p>
    <w:p>
      <w:pPr>
        <w:contextualSpacing/>
        <w:ind w:firstLine="480"/>
        <w:jc w:val="left"/>
        <w:spacing w:before="240" w:line="440" w:lineRule="exact"/>
        <w:widowControl/>
        <w:tabs>
          <w:tab w:val="left" w:pos="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lang w:val="en-US" w:eastAsia="zh-CN"/>
        </w:rPr>
        <w:t xml:space="preserve">（六）</w:t>
      </w:r>
      <w:r>
        <w:rPr>
          <w:rFonts w:hint="eastAsia" w:ascii="仿宋" w:hAnsi="仿宋" w:eastAsia="仿宋" w:cs="仿宋"/>
          <w:color w:val="auto"/>
          <w:sz w:val="24"/>
          <w:szCs w:val="20"/>
          <w:highlight w:val="none"/>
        </w:rPr>
        <w:t xml:space="preserve">本项目以固定优惠率（N%）进行报价。 </w:t>
      </w:r>
      <w:r/>
    </w:p>
    <w:p>
      <w:pPr>
        <w:contextualSpacing/>
        <w:ind w:firstLine="480"/>
        <w:jc w:val="left"/>
        <w:spacing w:before="240" w:line="440" w:lineRule="exact"/>
        <w:widowControl/>
        <w:tabs>
          <w:tab w:val="left" w:pos="0" w:leader="none"/>
        </w:tabs>
        <w:rPr>
          <w:rFonts w:hint="eastAsia"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注：</w:t>
      </w:r>
      <w:r>
        <w:rPr>
          <w:rFonts w:hint="eastAsia" w:ascii="仿宋" w:hAnsi="仿宋" w:eastAsia="仿宋" w:cs="仿宋"/>
          <w:b/>
          <w:bCs/>
          <w:color w:val="auto"/>
          <w:sz w:val="24"/>
          <w:szCs w:val="20"/>
          <w:highlight w:val="none"/>
        </w:rPr>
        <w:t xml:space="preserve">以徐州市发展和改革委员会网站“民生均价监测”最新公布的同类食材算术平均单价为基准单价，网站上没有的食材，以每周四昆仑农贸市场（市政府附近）、惠民农贸市场共两个农贸市场采集食材单价的算术平均单价为基准单价。由采购人组成的询价小组在上述市场采集菜价，每周四定期前往上述两个农贸市场采集价格；如上述还未有的菜品，以供应商的批发采购处的的同类菜品零售价为基准单价，根据上述基准价按优惠率计算的单价。</w:t>
      </w:r>
      <w:r/>
    </w:p>
    <w:p>
      <w:pPr>
        <w:ind w:firstLine="482"/>
        <w:jc w:val="left"/>
        <w:spacing w:line="440" w:lineRule="exact"/>
        <w:widowControl/>
        <w:tabs>
          <w:tab w:val="left" w:pos="0" w:leader="none"/>
        </w:tabs>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二、服务内容</w:t>
      </w:r>
      <w:r/>
    </w:p>
    <w:p>
      <w:pPr>
        <w:contextualSpacing/>
        <w:ind w:firstLine="480"/>
        <w:jc w:val="left"/>
        <w:spacing w:before="240"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徐州市检验检测中心餐厅所需的鲜肉类、豆制品、水产、无公害蔬菜、禽、蛋类、干杂货、冷冻品、调味品、面粉、大米、水果、鲜奶、酸奶、酱腌菜类、点心类及食用油等食材进行统一供货配送服务。本次采购选取1家投标单位为供应商。中标人必须按照规定的时间配送到位，所有食材必须符合国家及行业标准。本项目服务期限为1年。采购人不保证在服务期内中标人的供货数量及供货金额，以实际配送结算为准。</w:t>
      </w:r>
      <w:r/>
    </w:p>
    <w:p>
      <w:pPr>
        <w:ind w:firstLine="482"/>
        <w:jc w:val="left"/>
        <w:spacing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b/>
          <w:bCs/>
          <w:color w:val="auto"/>
          <w:sz w:val="24"/>
          <w:szCs w:val="20"/>
          <w:highlight w:val="none"/>
        </w:rPr>
        <w:t xml:space="preserve">三、技术要求</w:t>
      </w:r>
      <w:r/>
    </w:p>
    <w:p>
      <w:pPr>
        <w:ind w:firstLine="482"/>
        <w:jc w:val="left"/>
        <w:spacing w:line="440" w:lineRule="exact"/>
        <w:widowControl/>
        <w:tabs>
          <w:tab w:val="left" w:pos="0" w:leader="none"/>
        </w:tabs>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(一) 食材质量要求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投标人提供的货品及服务均应符合《中华人民共和国食品安全法》、《餐饮业食品卫生管理办法》、《餐饮业和集体用餐配送单位卫生规范》等国家法律法规、行业标准及地方政府和采购人有关规定。食品符合国家食品卫生安全标准，蔬菜类、畜禽肉类和水产类等食品能够提供相应的质量检疫报告。</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鲜肉类质量要求：畜肉品须色泽鲜亮、无任何异味、无毛、按压无水迹，配送工具必须符合卫生要求，不得与其他货物混装，防止肉品二次污染。肉质新鲜，无瘦肉精、无抗生素、不注水，无病毒，符合食品卫生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豆制品类质量要求：必须新鲜有弹性、带有豆香味，以非转基因大豆或杂豆为主要原料，经过加工制成的食品，包括发酵豆制品、非发酵豆制品和大豆蛋白类制品，对豆制品的有关安全健康指标符合国家规定，有QS标志。</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3、水产类（鱼、虾等）质量要求：鲜鱼类必须生猛鲜活眼睛清亮，角膜透明，鳞片上覆有冻结的透明黏液层，皮肤天然色泽明显，肉质新鲜，无病毒，不含有害物质。</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4、无公害蔬菜类质量要求：供货商经营品种齐全，有一定规模，日销量大。所提供的蔬菜必须保证新鲜、无黄叶、枯死叶、无虫、无杂质、不腐烂变质，能提供蔬菜农药残留检测报告、产地合格证明，且符合《农产品质量安全法》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5、家禽类质量要求：肉面干净、无任何异味，无毛发，不注水，无病毒、表皮处理清洁，大小统一、码放整齐，必须提供《动物或动物产品分销信息凭证》或《动物检疫合格证》，并提供养殖基地有效证件。</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6、蛋类质量要求：禽蛋必须保证新鲜（7日内产品），破损不超过2%，且符合《食品安全法》要求，无公害禽蛋、新鲜、无变质、无臭蛋，并提供养殖基地有效证件。</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7、干杂货质量要求：应符合相关的国家或行业食品安全标准，添加剂的使用必须符合相关国家标准，对食品的添加量严格控制在标准规定范围之内。</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8、冷冻品质量要求：保质期内，供应商须提供产品合格证明文件，动物产品提供《动物或动物产品分销信息凭证》或《动物检疫合格证》。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9、调味品（酱油、醋、盐、糖等）质量要求：正规知名厂家或其代理商，需有商标牌号，需注明生产日期、产地、保质期，包装规格。</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10、面粉质量要求：正规品牌，面粉级别为特一级，色泽呈白色或微黄色、无杂质、无异味。玉米面、杂粮面闻起来有面香而无其它异味，色泽自然，不沾手，无虫蛀、无霉变、无杂质。必须符合GB1355-1986标准，并拥有“QS”食品质量安全认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11、大米质量要求：二年内新大米（国标一级），符合GB1354-2009标准，并拥有“QS”食品质量安全。</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12、水果质量要求：纯天然无公害，个头匀称、无斑点、无破损、果实成熟、味道纯正。</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13、奶制品质量要求：食材包装及外观干净、整洁，生产日期、保质期、贮藏条件标识清晰，须在保质期内。</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14、酱腌菜类质量要求：亚硝酸盐定期抽检合格，且符合《食品卫生安全法》要求。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15、食用油质量要求：桶装密封非转基因食用油，必须符合GB2716-2005食用植物油卫生标准，并具有“QS”食品质量安全认证。不得采购来源不明和周转桶装植物油或地沟油。</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16、点心类：包子、馒头、麻球等，符合食品安全相关要求。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17、深加工食品质量要求：深加工食品必须符合食品安全相关规定，存放及运输过程中应和其它菜品分开包装及堆放，包装袋（箱）应为食品专用袋（箱）。</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18、油炸小食品质量要求：符合GB16565-2003标准，本标准适用于以面粉、米粉、豆类、薯类、蔬菜、水果、果仁为主要原料，按一定工艺配方，经油炸制成的各种定型包装的小食品。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19、熟食类、卤菜类：必须使用封闭车厢，不得敞运，车厢内必须清洁、卫生。制作材料必须保证其新鲜、卫生、符合该类食品的行业标准，成品及半成品要有足够的有效保质期。来货必须使用食品袋密封包装。所有非供应商自己调配的调味料，包括盐、糖、酱油、醋等，必须为预包装食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20、谷物类：小麦粒、大麦、玉米、薏米面，黑米、小米、高梁、藏麦、红枣、粟子、核桃、花生。感官指标要达到手感硬实，表面有光泽，无病虫害，无机械损伤，无腐烂，无异味，无杂质，含水量≤9%，黄曲霉毒素低于国家限量指标要求。质量标准达到农业部无公害食品标准，农药残留和微生物指标要符合国家标准。</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21、投标人严禁提供以下食品：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（1）无品名、产地、厂名、生产日期、保质期及中文标识及原料说明的定型包装食品（除蔬菜、鲜活水产等非定型包装食品）；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（2）超过保质期限或不符合食品标签规定的定型包装食品；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（3）腐败变质、油脂酸败、霉变、生虫、污秽不洁、混有异物或者其它感官性状异常，含有毒、有害物质或者被有毒、有害物质污染，可能对人体健康有害的食品；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（4）病死、死因不明或从疫区采购的水产品、畜、禽及其制品，农药残留超标的蔬菜等；</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（5）其它不符合食品卫生标准和要求的食品。</w:t>
      </w:r>
      <w:r/>
    </w:p>
    <w:p>
      <w:pPr>
        <w:ind w:firstLine="482"/>
        <w:jc w:val="left"/>
        <w:spacing w:line="440" w:lineRule="exact"/>
        <w:widowControl/>
        <w:tabs>
          <w:tab w:val="left" w:pos="0" w:leader="none"/>
        </w:tabs>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（二）配送要求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每日配送清单须是打印稿，并仔细核对采购清单，确保采购单位所需食品原材料品种、品牌、规格、数量、质量等准确无误，并在每天8:30前必须将采购人所需要的食材送到餐厅，保证采购方正常开餐，若没按时将食品送到导致采购方不能按时开餐，采购方有处罚供应商的权利。</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2、为了节约时间，供应商必须安排熟悉货物、熟悉市场</w:t>
      </w:r>
      <w:r>
        <w:rPr>
          <w:rFonts w:hint="eastAsia" w:ascii="仿宋" w:hAnsi="仿宋" w:eastAsia="仿宋" w:cs="仿宋"/>
          <w:b w:val="0"/>
          <w:bCs w:val="0"/>
          <w:color w:val="auto"/>
          <w:sz w:val="24"/>
          <w:szCs w:val="20"/>
          <w:highlight w:val="none"/>
        </w:rPr>
        <w:t xml:space="preserve">产品名称的专业人员进行配送，配送时，采购人如要求对菜品深加工，中标人应按照采购人要求安排持有有效期内的健康证明的工人进入单位食堂进行深加工，无二次要求的按采购人要求在市场加工好，再配送至采购人指定区域。到达采购人指定区域后应该根据当天采购清单逐一将食材交由采购人进行验收。若因配送人员不够专业导致采购错误、或延长验收时间，导致采购方不能按时开餐，第一次采购人发出书面警告，第二次则按￥3000.00 元进行罚款，第三次采购人有权解除供货合同。如因供货问题造成食堂无法正常运行的，投标人应根据合同承担相应赔偿责任；</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3、必须本着诚信的原则，投标人所配送的食品税后的价格应低于同期周边市场，如采购人发现所提供食材当日单价高于批发市场指导价的，采购人将扣除当天食材的50%作为处罚金，情节严重的将直接解除合同。</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4、在配送当日向采购人提供其配送的食材报价，经采购人验收确认后方为配送有效，不报价采购方有权按免费处置。</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5、投标人须具备紧急配送的能力，合同期内，联系电话要保持24小时畅通，特殊情况投标人须满足能随时送货，如采购人临时需要配送食品，投标人需接到采购人通知后 90 分钟内送达到采购人指定地点，验收方式同上一条。</w:t>
      </w:r>
      <w:r/>
    </w:p>
    <w:p>
      <w:pPr>
        <w:ind w:firstLine="482"/>
        <w:jc w:val="left"/>
        <w:spacing w:line="440" w:lineRule="exact"/>
        <w:widowControl/>
        <w:tabs>
          <w:tab w:val="left" w:pos="0" w:leader="none"/>
        </w:tabs>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（三）服从采购人管理要求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1、投</w:t>
      </w:r>
      <w:r>
        <w:rPr>
          <w:rFonts w:hint="eastAsia" w:ascii="仿宋" w:hAnsi="仿宋" w:eastAsia="仿宋" w:cs="仿宋"/>
          <w:b w:val="0"/>
          <w:bCs w:val="0"/>
          <w:color w:val="auto"/>
          <w:sz w:val="24"/>
          <w:szCs w:val="20"/>
          <w:highlight w:val="none"/>
        </w:rPr>
        <w:t xml:space="preserve">标人须配合采购人食品安全检测人员对所送物品按国家有关标准进行检测，若所供货品不符合卫生规定或其他质量问题的，采购人有权拒收，中标人应立即无条件予以退货、更换，采购人需从市场或酒店采购成品的，由此产生的一切损失和费用全部由中标人承担。若因投标人所供应食品的质量问题引起采购人食物中毒等食源性疾病的发生或其他事故（经市场监管、卫生防疫部门鉴定），及配送过程中发生的事故等其他事故，由投标人负全部责任，并承担由此而引起的全部经济损失及相关法律责任。情节较为严重的，采购人有权追究其法律责任（采购人操作或保管不当除外）。</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2、如有市场监管、卫生监督或相关部门对餐厅或餐厅食品进行检查，中标人须全力配合，不得找任何借口推脱。</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3、每天需做好各种食品的索证记录，按采购人的要求上交。</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4、采购人有权进行不定期检查，如果发现不符合合同规定的食品，中标人要无条件收回所供应的食品并给予采购人书面答复说明原因，造成的损失由中标人负责，并在 1 小时内更换好所需食品。第一次采购人发出书面警告，第二次则按￥3000.00 元进行罚款，第三次采购人有权解除供货合同。经核实如中标人提供非法渠道的食品，视为欺诈，投标人要承担相应的赔偿，并依据现行的国家法律法规追究其他责任，并连带追究所投产品生产企业的责任。</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5、因投标人管理不善，造成工作范围内的设施、设备等损坏的，由直接责任人赔偿，若直接责任人因故无法赔偿的，采购单位有权要求投标单位负责赔偿损失，情节严重的可终止合同甚至诉诸法律。</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6、若投标人在服务管理期间，违反下列规定将被解除综合服务合同：</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（1）严禁将承包的食材配送项目转包他人；</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（2）出现重大责任问题。</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7、投标单位需按要求提供全年工作日服务及采购人临时检查的餐饮管理，包括处理各项突发事件及紧急任务等。</w:t>
      </w:r>
      <w:r/>
    </w:p>
    <w:p>
      <w:pPr>
        <w:ind w:firstLine="482"/>
        <w:jc w:val="left"/>
        <w:spacing w:line="440" w:lineRule="exact"/>
        <w:widowControl/>
        <w:tabs>
          <w:tab w:val="left" w:pos="0" w:leader="none"/>
        </w:tabs>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四、商务要求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投标人具有一定规模的食品经营、加工、储存、配送、检测场所，有较强的供货能力、良好的企业信誉和售后服务能力，有专门的储藏（冷藏）设备和配送设备。</w:t>
      </w:r>
      <w:r/>
    </w:p>
    <w:p>
      <w:pPr>
        <w:ind w:firstLine="482"/>
        <w:jc w:val="left"/>
        <w:spacing w:line="440" w:lineRule="exact"/>
        <w:widowControl/>
        <w:tabs>
          <w:tab w:val="left" w:pos="0" w:leader="none"/>
        </w:tabs>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（一）人员和车辆配备要求 </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1、人员配备要求：服务人员（包括采购、配送等相关人员）不低于3名，要求投标人配备人员要签订劳动合同并具有健康证。</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服务人员在岗履行本项目工作职责期间，发生自身的人身伤害、伤亡，均由投标人负责处理并承担经济和道义上的责任，采购人不承担任何责任。</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投标人违返国家相关法规，与聘用人员发生纠纷，均由投标人负责调解与处理，采购人不承担责任。</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投标人在服务中违反国家相关法规或行业规范，因过失造成他人人身伤亡的，均由投标人负责处理并承担经济和道义上的责任，采购人不承担任何责任。</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2、车辆配备要求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要求投标人租赁车辆合同（租赁方为投标人）或投标人名下配送车辆不低于1辆。运送车须具备合法手续及有效行驶证运送车辆要确保卫生。</w:t>
      </w:r>
      <w:r/>
    </w:p>
    <w:p>
      <w:pPr>
        <w:ind w:firstLine="482"/>
        <w:jc w:val="left"/>
        <w:spacing w:line="440" w:lineRule="exact"/>
        <w:widowControl/>
        <w:tabs>
          <w:tab w:val="left" w:pos="0" w:leader="none"/>
        </w:tabs>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（二）退换货要求</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 1、采购人要求投标人提供退货、换货承诺。</w:t>
      </w:r>
      <w:r/>
    </w:p>
    <w:p>
      <w:pPr>
        <w:ind w:firstLine="482"/>
        <w:jc w:val="left"/>
        <w:spacing w:line="440" w:lineRule="exact"/>
        <w:widowControl/>
        <w:tabs>
          <w:tab w:val="left" w:pos="0" w:leader="none"/>
        </w:tabs>
        <w:rPr>
          <w:rFonts w:hint="eastAsia"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五、验收标准（验收要求、验收标准和程序）</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（一）验收必须由采购人和中标人相关人员等共同验收，对供应产品的质量无异议，数量准确无误后，签字确认，验收时提供供货清单，质量符合国家、行业标准及采购人要求，包括但不限于：</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（1）数量方面要求：保证配送品种斤两的准确性，以采购人的验货数量为准；</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（2）质量方面要求：在供货期间，若采购人对中标人所供货物质量产生异议，送质量检测部门检验。如检验不合格，检验费用由中标人承担，并接受采购人处罚。</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bCs/>
          <w:color w:val="auto"/>
          <w:sz w:val="24"/>
          <w:szCs w:val="20"/>
          <w:highlight w:val="none"/>
        </w:rPr>
        <w:t xml:space="preserve">（二）验收检查</w:t>
      </w:r>
      <w:r>
        <w:rPr>
          <w:rFonts w:hint="eastAsia" w:ascii="仿宋" w:hAnsi="仿宋" w:eastAsia="仿宋" w:cs="仿宋"/>
          <w:b w:val="0"/>
          <w:bCs w:val="0"/>
          <w:color w:val="auto"/>
          <w:sz w:val="24"/>
          <w:szCs w:val="20"/>
          <w:highlight w:val="none"/>
        </w:rPr>
        <w:t xml:space="preserve">：采购人如发现不符合合同规定的货品，中标人应无条件收回所供应的货物品并给予采购人书面答复说明原因，并在2小时内更换好所需货品，由此造成的损失和影响由中标人负责。第一次验收不合格，采购人发出书面警告，第二次则按￥3000.00 元进行罚款，第三次采购人有权解除供货合同。</w:t>
      </w:r>
      <w:r/>
    </w:p>
    <w:p>
      <w:p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关于留样与抽查送检：采购人将对每批次配送的货品进行留样保存，并每月随机抽样送检一次，送检费用由中标人承担。如有食品卫生安全监督部门或相关部门对货品进行检查，中标人须全力配合，不得找任何借口推脱。</w:t>
      </w:r>
      <w:r/>
    </w:p>
    <w:p>
      <w:pPr>
        <w:numPr>
          <w:ilvl w:val="0"/>
          <w:numId w:val="9"/>
        </w:numPr>
        <w:ind w:firstLine="482"/>
        <w:jc w:val="left"/>
        <w:spacing w:line="440" w:lineRule="exact"/>
        <w:widowControl/>
        <w:tabs>
          <w:tab w:val="left" w:pos="0" w:leader="none"/>
        </w:tabs>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其他要求见招标文件第五章《拟签订的合同文本》中“</w:t>
      </w:r>
      <w:r>
        <w:rPr>
          <w:rFonts w:hint="eastAsia" w:ascii="仿宋" w:hAnsi="仿宋" w:eastAsia="仿宋" w:cs="仿宋"/>
          <w:b w:val="0"/>
          <w:bCs w:val="0"/>
          <w:color w:val="auto"/>
          <w:sz w:val="24"/>
          <w:szCs w:val="20"/>
          <w:highlight w:val="none"/>
          <w:lang w:val="en-US" w:eastAsia="zh-CN"/>
        </w:rPr>
        <w:t xml:space="preserve">六</w:t>
      </w:r>
      <w:r>
        <w:rPr>
          <w:rFonts w:hint="eastAsia" w:ascii="仿宋" w:hAnsi="仿宋" w:eastAsia="仿宋" w:cs="仿宋"/>
          <w:b w:val="0"/>
          <w:bCs w:val="0"/>
          <w:color w:val="auto"/>
          <w:sz w:val="24"/>
          <w:szCs w:val="20"/>
          <w:highlight w:val="none"/>
        </w:rPr>
        <w:t xml:space="preserve">、质量标准和检验”。</w:t>
      </w:r>
      <w:r/>
    </w:p>
    <w:p>
      <w:pPr>
        <w:numPr>
          <w:ilvl w:val="0"/>
          <w:numId w:val="0"/>
        </w:numPr>
        <w:ind w:firstLine="482"/>
        <w:jc w:val="left"/>
        <w:spacing w:line="440" w:lineRule="exact"/>
        <w:widowControl/>
        <w:tabs>
          <w:tab w:val="left" w:pos="0" w:leader="none"/>
        </w:tabs>
        <w:rPr>
          <w:rFonts w:ascii="仿宋" w:hAnsi="仿宋" w:eastAsia="仿宋" w:cs="仿宋"/>
          <w:b/>
          <w:bCs/>
          <w:color w:val="auto"/>
          <w:sz w:val="24"/>
          <w:szCs w:val="20"/>
          <w:highlight w:val="none"/>
        </w:rPr>
      </w:pPr>
      <w:r>
        <w:rPr>
          <w:rFonts w:hint="eastAsia" w:ascii="仿宋" w:hAnsi="仿宋" w:eastAsia="仿宋" w:cs="仿宋"/>
          <w:b/>
          <w:bCs/>
          <w:color w:val="auto"/>
          <w:sz w:val="24"/>
          <w:szCs w:val="20"/>
          <w:highlight w:val="none"/>
        </w:rPr>
        <w:t xml:space="preserve">六、关于投标报价的相关说明</w:t>
      </w:r>
      <w:r/>
    </w:p>
    <w:p>
      <w:pPr>
        <w:ind w:firstLine="482"/>
        <w:jc w:val="left"/>
        <w:spacing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b/>
          <w:bCs/>
          <w:color w:val="auto"/>
          <w:sz w:val="24"/>
          <w:szCs w:val="20"/>
          <w:highlight w:val="none"/>
        </w:rPr>
        <w:t xml:space="preserve">1、本项目按照优惠率进行投标报价，不接受低于或等于0的优惠率。</w:t>
      </w:r>
      <w:r/>
    </w:p>
    <w:p>
      <w:pPr>
        <w:ind w:firstLine="480"/>
        <w:jc w:val="left"/>
        <w:spacing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2、基准单价：</w:t>
      </w:r>
      <w:r>
        <w:rPr>
          <w:rFonts w:hint="eastAsia" w:ascii="仿宋" w:hAnsi="仿宋" w:eastAsia="仿宋" w:cs="仿宋"/>
          <w:b/>
          <w:bCs/>
          <w:color w:val="auto"/>
          <w:sz w:val="24"/>
          <w:szCs w:val="20"/>
          <w:highlight w:val="none"/>
        </w:rPr>
        <w:t xml:space="preserve">以徐州市发展和改革委员会网站“民生均价监测”最新公布的同类食材算术平均单价为基准单价，网站上没有的食材，以每周四昆仑农贸市场（市政府附近）、惠民农贸市场共两个农贸市场采集食材单价的算术平均单价为基准单价。由采购人组成的询价小组在上述市场采集菜价，每周四定期前往上述两个农贸市场采集价格；如上述还未有的菜品，以供应商的批发采购处的的同类菜品零售价为基准单价，根据上述基准价按优惠率计算的单价</w:t>
      </w:r>
      <w:r>
        <w:rPr>
          <w:rFonts w:hint="eastAsia" w:ascii="仿宋" w:hAnsi="仿宋" w:eastAsia="仿宋" w:cs="仿宋"/>
          <w:color w:val="auto"/>
          <w:sz w:val="24"/>
          <w:szCs w:val="20"/>
          <w:highlight w:val="none"/>
        </w:rPr>
        <w:t xml:space="preserve">。</w:t>
      </w:r>
      <w:r/>
    </w:p>
    <w:p>
      <w:pPr>
        <w:ind w:firstLine="480"/>
        <w:jc w:val="left"/>
        <w:spacing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3、结算单价=基准单价×（1-中标优惠率）。例如：中标优惠率为10%，以番茄为例，若市场基准单价为8元/kg,则结算单价为8*（1-10%）=7.2元/kg。</w:t>
      </w:r>
      <w:r/>
    </w:p>
    <w:p>
      <w:pPr>
        <w:ind w:firstLine="480"/>
        <w:jc w:val="left"/>
        <w:spacing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4、结算单价包括但不限于所有成本费、运输费、人工费、保险费、检查费、检验费、税费（采购人认可的有效增值税普通发票）以及服务期内的所有相关食品采购、检验费用在内的采购人指定地点交货全包价。</w:t>
      </w:r>
      <w:r/>
    </w:p>
    <w:p>
      <w:pPr>
        <w:ind w:firstLine="480"/>
        <w:jc w:val="left"/>
        <w:spacing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5、报价需充分考虑合同期限内的市场因素和成本变化状况的风险。</w:t>
      </w:r>
      <w:r/>
    </w:p>
    <w:p>
      <w:pPr>
        <w:ind w:firstLine="480"/>
        <w:jc w:val="left"/>
        <w:spacing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color w:val="auto"/>
          <w:sz w:val="24"/>
          <w:szCs w:val="20"/>
          <w:highlight w:val="none"/>
        </w:rPr>
        <w:t xml:space="preserve">说明：本“六、关于投标报价的相关说明”为不允许偏离的实质性要求和条件，如有偏离，在符合性审查时按照投标无效处理。</w:t>
      </w:r>
      <w:r/>
    </w:p>
    <w:p>
      <w:pPr>
        <w:ind w:firstLine="482"/>
        <w:jc w:val="left"/>
        <w:spacing w:line="440" w:lineRule="exact"/>
        <w:widowControl/>
        <w:tabs>
          <w:tab w:val="left" w:pos="0" w:leader="none"/>
        </w:tabs>
        <w:rPr>
          <w:rFonts w:ascii="仿宋" w:hAnsi="仿宋" w:eastAsia="仿宋" w:cs="仿宋"/>
          <w:color w:val="auto"/>
          <w:sz w:val="24"/>
          <w:szCs w:val="20"/>
          <w:highlight w:val="none"/>
        </w:rPr>
      </w:pPr>
      <w:r>
        <w:rPr>
          <w:rFonts w:hint="eastAsia" w:ascii="仿宋" w:hAnsi="仿宋" w:eastAsia="仿宋" w:cs="仿宋"/>
          <w:b/>
          <w:bCs/>
          <w:color w:val="auto"/>
          <w:sz w:val="24"/>
          <w:szCs w:val="20"/>
          <w:highlight w:val="none"/>
        </w:rPr>
        <w:t xml:space="preserve">七、其他要求：</w:t>
      </w:r>
      <w:r>
        <w:rPr>
          <w:rFonts w:hint="eastAsia" w:ascii="仿宋" w:hAnsi="仿宋" w:eastAsia="仿宋" w:cs="仿宋"/>
          <w:color w:val="auto"/>
          <w:sz w:val="24"/>
          <w:szCs w:val="20"/>
          <w:highlight w:val="none"/>
        </w:rPr>
        <w:t xml:space="preserve">见招标文件第五章《拟签订的合同文本》。</w:t>
      </w:r>
      <w:r/>
    </w:p>
    <w:p>
      <w:pPr>
        <w:spacing w:after="120"/>
        <w:rPr>
          <w:rFonts w:ascii="仿宋" w:hAnsi="仿宋" w:eastAsia="仿宋" w:cs="仿宋"/>
          <w:color w:val="auto"/>
          <w:highlight w:val="none"/>
        </w:rPr>
      </w:pPr>
      <w:r>
        <w:rPr>
          <w:rFonts w:ascii="仿宋" w:hAnsi="仿宋" w:eastAsia="仿宋" w:cs="仿宋"/>
          <w:color w:val="auto"/>
          <w:highlight w:val="none"/>
        </w:rPr>
      </w:r>
      <w:r/>
    </w:p>
    <w:p>
      <w:pPr>
        <w:ind w:firstLine="470"/>
        <w:jc w:val="left"/>
        <w:spacing w:line="360" w:lineRule="auto"/>
        <w:widowControl/>
        <w:rPr>
          <w:rFonts w:ascii="仿宋" w:hAnsi="仿宋" w:eastAsia="仿宋" w:cs="仿宋"/>
          <w:color w:val="auto"/>
          <w:sz w:val="24"/>
          <w:szCs w:val="20"/>
          <w:highlight w:val="none"/>
        </w:rPr>
        <w:outlineLvl w:val="0"/>
      </w:pPr>
      <w:r>
        <w:rPr>
          <w:rFonts w:hint="eastAsia" w:ascii="仿宋" w:hAnsi="仿宋" w:eastAsia="仿宋" w:cs="仿宋"/>
          <w:color w:val="auto"/>
          <w:sz w:val="24"/>
          <w:szCs w:val="20"/>
          <w:highlight w:val="none"/>
        </w:rPr>
        <w:t xml:space="preserve">注：</w:t>
      </w:r>
      <w:r/>
    </w:p>
    <w:p>
      <w:pPr>
        <w:ind w:firstLine="470"/>
        <w:jc w:val="left"/>
        <w:spacing w:line="360" w:lineRule="auto"/>
        <w:widowControl/>
        <w:rPr>
          <w:rFonts w:ascii="仿宋" w:hAnsi="仿宋" w:eastAsia="仿宋" w:cs="仿宋"/>
          <w:b/>
          <w:bCs/>
          <w:color w:val="auto"/>
          <w:sz w:val="24"/>
          <w:szCs w:val="20"/>
          <w:highlight w:val="none"/>
        </w:rPr>
        <w:outlineLvl w:val="0"/>
      </w:pPr>
      <w:r>
        <w:rPr>
          <w:rFonts w:hint="eastAsia" w:ascii="仿宋" w:hAnsi="仿宋" w:eastAsia="仿宋" w:cs="仿宋"/>
          <w:color w:val="auto"/>
          <w:sz w:val="24"/>
          <w:szCs w:val="20"/>
          <w:highlight w:val="none"/>
        </w:rPr>
        <w:t xml:space="preserve">1、签订合同前，中标人必须提供全员的《健康证》。</w:t>
      </w:r>
      <w:r/>
    </w:p>
    <w:p>
      <w:pPr>
        <w:ind w:firstLine="480"/>
        <w:jc w:val="left"/>
        <w:spacing w:line="360" w:lineRule="auto"/>
        <w:widowControl/>
        <w:rPr>
          <w:rFonts w:ascii="仿宋" w:hAnsi="仿宋" w:eastAsia="仿宋" w:cs="仿宋"/>
          <w:b/>
          <w:color w:val="auto"/>
          <w:sz w:val="24"/>
          <w:szCs w:val="20"/>
          <w:highlight w:val="none"/>
        </w:rPr>
      </w:pPr>
      <w:r>
        <w:rPr>
          <w:rFonts w:hint="eastAsia" w:ascii="仿宋" w:hAnsi="仿宋" w:eastAsia="仿宋" w:cs="仿宋"/>
          <w:color w:val="auto"/>
          <w:sz w:val="24"/>
          <w:szCs w:val="20"/>
          <w:highlight w:val="none"/>
        </w:rPr>
        <w:t xml:space="preserve">2、本项目要求未尽事宜，供应商须无条件按照采购人的合理要求执行。</w:t>
      </w:r>
      <w:r/>
    </w:p>
    <w:p>
      <w:pPr>
        <w:spacing w:after="120"/>
        <w:rPr>
          <w:color w:val="auto"/>
          <w:highlight w:val="none"/>
        </w:rPr>
      </w:pPr>
      <w:r>
        <w:rPr>
          <w:color w:val="auto"/>
          <w:highlight w:val="none"/>
        </w:rPr>
      </w:r>
      <w:r/>
    </w:p>
    <w:p>
      <w:pPr>
        <w:ind w:firstLine="600"/>
        <w:jc w:val="center"/>
        <w:pageBreakBefore/>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第七章  投标文件相关格式</w:t>
      </w:r>
      <w:r/>
    </w:p>
    <w:p>
      <w:pPr>
        <w:jc w:val="cente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4"/>
          <w:highlight w:val="none"/>
        </w:rPr>
      </w:pPr>
      <w:r>
        <w:rPr>
          <w:rFonts w:hint="eastAsia" w:ascii="仿宋" w:hAnsi="仿宋" w:eastAsia="仿宋" w:cs="仿宋"/>
          <w:color w:val="auto"/>
          <w:sz w:val="24"/>
          <w:highlight w:val="none"/>
        </w:rPr>
        <w:t xml:space="preserve">目录</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 投标函</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 开标一览表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 分项价格表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4．偏离表</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5. 授权委托书</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6. 中小企业声明函</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7. 投标人参加政府采购活动前3年内在经营活动中没有重大违法记录的书面声明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8. 残疾人福利性单位声明函</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9. 具备履行合同所必需的设备和专业技术能力的书面声明（附证明材料原件的扫描件）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10.投标人相关承诺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11.投标人书面声明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12.预付款保函支付条款模板</w:t>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rPr>
          <w:rFonts w:ascii="仿宋" w:hAnsi="仿宋" w:eastAsia="仿宋" w:cs="仿宋"/>
          <w:color w:val="auto"/>
          <w:sz w:val="24"/>
          <w:szCs w:val="28"/>
          <w:highlight w:val="none"/>
        </w:rPr>
      </w:pPr>
      <w:r>
        <w:rPr>
          <w:rFonts w:hint="eastAsia" w:ascii="仿宋" w:hAnsi="仿宋" w:eastAsia="仿宋" w:cs="仿宋"/>
          <w:color w:val="auto"/>
          <w:sz w:val="24"/>
          <w:szCs w:val="28"/>
          <w:highlight w:val="none"/>
        </w:rPr>
        <w:br w:type="page" w:clear="all"/>
      </w:r>
      <w:r/>
    </w:p>
    <w:p>
      <w:pPr>
        <w:ind w:left="450" w:firstLine="600"/>
        <w:jc w:val="center"/>
        <w:rPr>
          <w:rFonts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1.投标</w:t>
      </w:r>
      <w:r>
        <w:rPr>
          <w:rFonts w:hint="eastAsia" w:ascii="仿宋" w:hAnsi="仿宋" w:eastAsia="仿宋" w:cs="仿宋"/>
          <w:color w:val="auto"/>
          <w:sz w:val="28"/>
          <w:szCs w:val="28"/>
          <w:highlight w:val="none"/>
        </w:rPr>
        <w:t xml:space="preserve">函</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致：</w:t>
      </w:r>
      <w:r>
        <w:rPr>
          <w:rFonts w:hint="eastAsia" w:ascii="仿宋" w:hAnsi="仿宋" w:eastAsia="仿宋" w:cs="仿宋"/>
          <w:color w:val="auto"/>
          <w:sz w:val="24"/>
          <w:highlight w:val="none"/>
          <w:u w:val="single"/>
        </w:rPr>
        <w:t xml:space="preserve"> 华春建设工程项目管理有限责任公司</w:t>
      </w:r>
      <w:r/>
    </w:p>
    <w:p>
      <w:pPr>
        <w:ind w:firstLine="480"/>
        <w:jc w:val="left"/>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根据</w:t>
      </w:r>
      <w:r>
        <w:rPr>
          <w:rFonts w:hint="eastAsia" w:ascii="仿宋" w:hAnsi="仿宋" w:eastAsia="仿宋" w:cs="仿宋"/>
          <w:color w:val="auto"/>
          <w:sz w:val="24"/>
          <w:highlight w:val="none"/>
          <w:u w:val="single"/>
        </w:rPr>
        <w:t xml:space="preserve">徐州市检验检测中心餐厅原材料配送</w:t>
      </w:r>
      <w:r>
        <w:rPr>
          <w:rFonts w:hint="eastAsia" w:ascii="仿宋" w:hAnsi="仿宋" w:eastAsia="仿宋" w:cs="仿宋"/>
          <w:color w:val="auto"/>
          <w:sz w:val="24"/>
          <w:highlight w:val="none"/>
        </w:rPr>
        <w:t xml:space="preserve">[项目编号：          招标文件，</w:t>
      </w:r>
      <w:r>
        <w:rPr>
          <w:rFonts w:hint="eastAsia" w:ascii="仿宋" w:hAnsi="仿宋" w:eastAsia="仿宋" w:cs="仿宋"/>
          <w:color w:val="auto"/>
          <w:szCs w:val="21"/>
          <w:highlight w:val="none"/>
        </w:rPr>
        <w:t xml:space="preserve">_____(</w:t>
      </w:r>
      <w:r>
        <w:rPr>
          <w:rFonts w:hint="eastAsia" w:ascii="仿宋" w:hAnsi="仿宋" w:eastAsia="仿宋" w:cs="仿宋"/>
          <w:color w:val="auto"/>
          <w:sz w:val="24"/>
          <w:highlight w:val="none"/>
        </w:rPr>
        <w:t xml:space="preserve">姓名)代表我方</w:t>
      </w:r>
      <w:r>
        <w:rPr>
          <w:rFonts w:hint="eastAsia" w:ascii="仿宋" w:hAnsi="仿宋" w:eastAsia="仿宋" w:cs="仿宋"/>
          <w:color w:val="auto"/>
          <w:szCs w:val="21"/>
          <w:highlight w:val="none"/>
        </w:rPr>
        <w:t xml:space="preserve">______________</w:t>
      </w:r>
      <w:r>
        <w:rPr>
          <w:rFonts w:hint="eastAsia" w:ascii="仿宋" w:hAnsi="仿宋" w:eastAsia="仿宋" w:cs="仿宋"/>
          <w:color w:val="auto"/>
          <w:sz w:val="24"/>
          <w:highlight w:val="none"/>
        </w:rPr>
        <w:t xml:space="preserve">（投标人的名称）全权处理本次投标的有关事宜。</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据此函，投标人承诺并同意如下：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1.投标人唯一投标报价见《开标一览表》。</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2.投标人将按招标文件的规定履行合同责任和义务。</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3.投标人已详细审查全部招标文件，包括第[插入编号]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4.投标有效期为90天。</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5.投标人同意提供按照贵方可能要求的与其投标有关的一切数据或资料，完全理解贵方不一定接受最低价的投标或收到的任何投标。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6.招标文件中关于“投标文件的密封要求”的规定由华春建设工程项目管理有限责任公司解释，投标人完全理解招标文件中关于“投标文件的密封要求”的规定。</w:t>
      </w:r>
      <w:r/>
    </w:p>
    <w:p>
      <w:pPr>
        <w:ind w:right="29"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7.华春建设工程项目管理有限责任公司有权将我单位本项目投标文件中的《开标一览表》和《分项价格表》予以公示，公示的方式由华春建设工程项目管理有限责任公司确定。如我单位被确定为中标、成交供应商，华春建设工程项目管理有限责任公司有权将我单位本项目投标文件中的《中小企业声明函》（如有）和《残疾人福利性单位声明函》（如有）作为《中标（成交）结果公告》的附件予以公告。</w:t>
      </w:r>
      <w:r/>
    </w:p>
    <w:p>
      <w:pPr>
        <w:ind w:right="29"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9.与本投标有关的一切正式往来信函请寄：</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电话：            手机号码：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传真： </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480"/>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cente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2．开标一览表</w:t>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项目名称：徐州市检验检测中心餐厅原材料配送</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rPr>
          <w:rFonts w:hint="eastAsia" w:ascii="仿宋" w:hAnsi="仿宋" w:eastAsia="仿宋" w:cs="仿宋"/>
          <w:color w:val="auto"/>
          <w:sz w:val="24"/>
          <w:highlight w:val="none"/>
        </w:rPr>
        <w:t xml:space="preserve">  </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                                    货币单位：人民币元</w:t>
      </w:r>
      <w:r/>
    </w:p>
    <w:tbl>
      <w:tblPr>
        <w:tblStyle w:val="816"/>
        <w:tblW w:w="8902"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655"/>
        <w:gridCol w:w="2752"/>
        <w:gridCol w:w="3495"/>
      </w:tblGrid>
      <w:tr>
        <w:trPr>
          <w:cantSplit/>
          <w:trHeight w:val="884"/>
        </w:trPr>
        <w:tc>
          <w:tcPr>
            <w:tcBorders>
              <w:top w:val="single" w:color="000000" w:sz="6" w:space="0"/>
              <w:left w:val="single" w:color="000000" w:sz="6" w:space="0"/>
              <w:bottom w:val="single" w:color="000000" w:sz="2" w:space="0"/>
              <w:right w:val="single" w:color="000000" w:sz="2" w:space="0"/>
            </w:tcBorders>
            <w:tcW w:w="2655"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投标人名称</w:t>
            </w:r>
            <w:r/>
          </w:p>
        </w:tc>
        <w:tc>
          <w:tcPr>
            <w:tcBorders>
              <w:top w:val="single" w:color="000000" w:sz="6" w:space="0"/>
              <w:left w:val="single" w:color="000000" w:sz="2" w:space="0"/>
              <w:bottom w:val="single" w:color="000000" w:sz="2" w:space="0"/>
              <w:right w:val="single" w:color="000000" w:sz="4" w:space="0"/>
            </w:tcBorders>
            <w:tcW w:w="2752"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优惠率%</w:t>
            </w:r>
            <w:r/>
          </w:p>
        </w:tc>
        <w:tc>
          <w:tcPr>
            <w:tcBorders>
              <w:top w:val="single" w:color="000000" w:sz="6" w:space="0"/>
              <w:left w:val="single" w:color="000000" w:sz="4" w:space="0"/>
              <w:bottom w:val="single" w:color="000000" w:sz="2" w:space="0"/>
              <w:right w:val="single" w:color="000000" w:sz="2" w:space="0"/>
            </w:tcBorders>
            <w:tcW w:w="3495" w:type="dxa"/>
            <w:vAlign w:val="center"/>
            <w:textDirection w:val="lrTb"/>
            <w:noWrap w:val="false"/>
          </w:tcPr>
          <w:p>
            <w:pPr>
              <w:jc w:val="center"/>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备注</w:t>
            </w:r>
            <w:r/>
          </w:p>
        </w:tc>
      </w:tr>
      <w:tr>
        <w:trPr>
          <w:cantSplit/>
          <w:trHeight w:val="1509"/>
        </w:trPr>
        <w:tc>
          <w:tcPr>
            <w:tcBorders>
              <w:top w:val="single" w:color="000000" w:sz="2" w:space="0"/>
              <w:left w:val="single" w:color="000000" w:sz="6" w:space="0"/>
              <w:right w:val="single" w:color="000000" w:sz="2" w:space="0"/>
            </w:tcBorders>
            <w:tcW w:w="2655" w:type="dxa"/>
            <w:vAlign w:val="center"/>
            <w:textDirection w:val="lrTb"/>
            <w:noWrap w:val="false"/>
          </w:tcPr>
          <w:p>
            <w:pPr>
              <w:ind w:firstLine="312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2" w:space="0"/>
              <w:left w:val="single" w:color="000000" w:sz="2" w:space="0"/>
              <w:right w:val="single" w:color="000000" w:sz="4" w:space="0"/>
            </w:tcBorders>
            <w:tcW w:w="2752" w:type="dxa"/>
            <w:vAlign w:val="center"/>
            <w:textDirection w:val="lrTb"/>
            <w:noWrap w:val="false"/>
          </w:tcPr>
          <w:p>
            <w:pPr>
              <w:ind w:firstLine="120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tc>
        <w:tc>
          <w:tcPr>
            <w:tcBorders>
              <w:top w:val="single" w:color="000000" w:sz="2" w:space="0"/>
              <w:left w:val="single" w:color="000000" w:sz="4" w:space="0"/>
              <w:right w:val="single" w:color="000000" w:sz="2" w:space="0"/>
            </w:tcBorders>
            <w:tcW w:w="3495" w:type="dxa"/>
            <w:vAlign w:val="center"/>
            <w:textDirection w:val="lrTb"/>
            <w:noWrap w:val="false"/>
          </w:tcPr>
          <w:p>
            <w:pPr>
              <w:ind w:firstLine="312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left="0" w:right="0" w:firstLine="600"/>
        <w:jc w:val="center"/>
        <w:spacing w:before="0" w:after="0" w:line="519" w:lineRule="atLeas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i/>
          <w:color w:val="000000"/>
          <w:sz w:val="30"/>
          <w:u w:val="single"/>
        </w:rPr>
        <w:t xml:space="preserve">具体以苏采云系统内格式为准</w:t>
      </w:r>
      <w:r/>
    </w:p>
    <w:p>
      <w:pPr>
        <w:pStyle w:val="836"/>
        <w:rPr>
          <w:rFonts w:ascii="仿宋" w:hAnsi="仿宋" w:eastAsia="仿宋" w:cs="仿宋"/>
          <w:color w:val="auto"/>
          <w:sz w:val="24"/>
          <w:szCs w:val="24"/>
          <w:highlight w:val="none"/>
        </w:rPr>
      </w:pPr>
      <w:r>
        <w:rPr>
          <w:rFonts w:ascii="仿宋" w:hAnsi="仿宋" w:eastAsia="仿宋" w:cs="仿宋"/>
          <w:color w:val="auto"/>
          <w:sz w:val="24"/>
          <w:szCs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pStyle w:val="83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jc w:val="center"/>
        <w:rPr>
          <w:rFonts w:ascii="仿宋" w:hAnsi="仿宋" w:eastAsia="仿宋" w:cs="仿宋"/>
          <w:color w:val="auto"/>
          <w:sz w:val="28"/>
          <w:szCs w:val="28"/>
          <w:highlight w:val="none"/>
        </w:rPr>
      </w:pPr>
      <w:r>
        <w:rPr>
          <w:rFonts w:hint="eastAsia" w:ascii="仿宋" w:hAnsi="仿宋" w:eastAsia="仿宋" w:cs="仿宋"/>
          <w:color w:val="auto"/>
          <w:sz w:val="24"/>
          <w:highlight w:val="none"/>
        </w:rPr>
        <w:br w:type="page" w:clear="all"/>
      </w:r>
      <w:r>
        <w:rPr>
          <w:rFonts w:hint="eastAsia" w:ascii="仿宋" w:hAnsi="仿宋" w:eastAsia="仿宋" w:cs="仿宋"/>
          <w:color w:val="auto"/>
          <w:sz w:val="28"/>
          <w:szCs w:val="28"/>
          <w:highlight w:val="none"/>
        </w:rPr>
        <w:t xml:space="preserve">3．分项价格表</w:t>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项目名称：徐州市检验检测中心餐厅原材料配送</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rPr>
          <w:rFonts w:hint="eastAsia" w:ascii="仿宋" w:hAnsi="仿宋" w:eastAsia="仿宋" w:cs="仿宋"/>
          <w:color w:val="auto"/>
          <w:sz w:val="24"/>
          <w:highlight w:val="none"/>
        </w:rPr>
        <w:t xml:space="preserve">                                     </w:t>
      </w:r>
      <w:r/>
    </w:p>
    <w:p>
      <w:pPr>
        <w:ind w:firstLine="480"/>
        <w:jc w:val="right"/>
        <w:rPr>
          <w:rFonts w:ascii="仿宋" w:hAnsi="仿宋" w:eastAsia="仿宋" w:cs="仿宋"/>
          <w:color w:val="auto"/>
          <w:sz w:val="24"/>
          <w:highlight w:val="none"/>
        </w:rPr>
      </w:pPr>
      <w:r>
        <w:rPr>
          <w:rFonts w:hint="eastAsia" w:ascii="仿宋" w:hAnsi="仿宋" w:eastAsia="仿宋" w:cs="仿宋"/>
          <w:color w:val="auto"/>
          <w:sz w:val="24"/>
          <w:highlight w:val="none"/>
        </w:rPr>
        <w:t xml:space="preserve"> 货币单位：人民币元</w:t>
      </w:r>
      <w:r/>
    </w:p>
    <w:p>
      <w:pPr>
        <w:spacing w:line="479" w:lineRule="atLeast"/>
        <w:widowControl/>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0"/>
          <w:szCs w:val="30"/>
          <w:highlight w:val="none"/>
        </w:rPr>
      </w:r>
      <w:r/>
    </w:p>
    <w:p>
      <w:pPr>
        <w:spacing w:line="479" w:lineRule="atLeast"/>
        <w:widowControl/>
        <w:rPr>
          <w:rFonts w:ascii="宋体" w:hAnsi="宋体" w:cs="宋体"/>
          <w:b/>
          <w:bCs/>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30"/>
          <w:szCs w:val="30"/>
          <w:highlight w:val="none"/>
        </w:rPr>
      </w:r>
      <w:r/>
    </w:p>
    <w:p>
      <w:pPr>
        <w:jc w:val="center"/>
        <w:spacing w:line="479" w:lineRule="atLeast"/>
        <w:widowControl/>
        <w:rPr>
          <w:rFonts w:ascii="仿宋" w:hAnsi="仿宋" w:eastAsia="仿宋" w:cs="仿宋"/>
          <w:b/>
          <w:bCs/>
          <w:color w:val="auto"/>
          <w:sz w:val="30"/>
          <w:szCs w:val="3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0"/>
          <w:szCs w:val="30"/>
          <w:highlight w:val="none"/>
        </w:rPr>
        <w:t xml:space="preserve">格式自拟。</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480"/>
        <w:spacing w:line="360" w:lineRule="auto"/>
        <w:rPr>
          <w:rFonts w:ascii="仿宋" w:hAnsi="仿宋" w:eastAsia="仿宋" w:cs="仿宋"/>
          <w:color w:val="auto"/>
          <w:highlight w:val="none"/>
        </w:rPr>
      </w:pPr>
      <w:r>
        <w:rPr>
          <w:rFonts w:hint="eastAsia" w:ascii="仿宋" w:hAnsi="仿宋" w:eastAsia="仿宋" w:cs="仿宋"/>
          <w:color w:val="auto"/>
          <w:sz w:val="24"/>
          <w:highlight w:val="none"/>
        </w:rPr>
        <w:t xml:space="preserve">日期：   年  月  日</w:t>
      </w:r>
      <w:r/>
    </w:p>
    <w:p>
      <w:pPr>
        <w:ind w:firstLine="480"/>
        <w:widowControl/>
        <w:rPr>
          <w:rFonts w:ascii="仿宋" w:hAnsi="仿宋" w:eastAsia="仿宋" w:cs="仿宋"/>
          <w:color w:val="auto"/>
          <w:sz w:val="24"/>
          <w:highlight w:val="none"/>
        </w:rPr>
        <w:outlineLvl w:val="2"/>
      </w:pPr>
      <w:r>
        <w:rPr>
          <w:rFonts w:hint="eastAsia" w:ascii="仿宋" w:hAnsi="仿宋" w:eastAsia="仿宋" w:cs="仿宋"/>
          <w:color w:val="auto"/>
          <w:sz w:val="24"/>
          <w:highlight w:val="none"/>
        </w:rPr>
        <w:t xml:space="preserve">注：1．如果不提供详细分项报价将视为没有实质性响应招标文件。</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 投标人对以上数据的真实性负责。</w:t>
      </w:r>
      <w:r/>
    </w:p>
    <w:p>
      <w:pPr>
        <w:ind w:firstLine="480"/>
        <w:widowControl/>
        <w:rPr>
          <w:rFonts w:ascii="仿宋" w:hAnsi="仿宋" w:eastAsia="仿宋" w:cs="仿宋"/>
          <w:i/>
          <w:iCs/>
          <w:color w:val="auto"/>
          <w:sz w:val="24"/>
          <w:highlight w:val="none"/>
          <w:u w:val="single"/>
        </w:rPr>
        <w:outlineLvl w:val="2"/>
      </w:pPr>
      <w:r>
        <w:rPr>
          <w:rFonts w:hint="eastAsia" w:ascii="仿宋" w:hAnsi="仿宋" w:eastAsia="仿宋" w:cs="仿宋"/>
          <w:i/>
          <w:iCs/>
          <w:color w:val="auto"/>
          <w:sz w:val="24"/>
          <w:highlight w:val="none"/>
          <w:u w:val="single"/>
        </w:rPr>
        <w:t xml:space="preserve">采购人或采购代理机构有权将以上内容进行公示。</w:t>
      </w:r>
      <w:r/>
    </w:p>
    <w:p>
      <w:pPr>
        <w:ind w:firstLine="480"/>
        <w:rPr>
          <w:rFonts w:ascii="仿宋" w:hAnsi="仿宋" w:eastAsia="仿宋" w:cs="仿宋"/>
          <w:i/>
          <w:color w:val="auto"/>
          <w:sz w:val="24"/>
          <w:highlight w:val="none"/>
          <w:u w:val="single"/>
        </w:rPr>
      </w:pPr>
      <w:r>
        <w:rPr>
          <w:rFonts w:hint="eastAsia" w:ascii="仿宋" w:hAnsi="仿宋" w:eastAsia="仿宋" w:cs="仿宋"/>
          <w:i/>
          <w:color w:val="auto"/>
          <w:sz w:val="24"/>
          <w:highlight w:val="none"/>
          <w:u w:val="single"/>
        </w:rPr>
        <w:br w:type="page" w:clear="all"/>
      </w:r>
      <w:r/>
    </w:p>
    <w:p>
      <w:pPr>
        <w:ind w:firstLine="56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4．偏离表</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项目名称：徐州市检验检测中心餐厅原材料配送</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p>
    <w:p>
      <w:pPr>
        <w:pStyle w:val="823"/>
        <w:rPr>
          <w:color w:val="auto"/>
          <w:highlight w:val="none"/>
        </w:rPr>
      </w:pPr>
      <w:r>
        <w:rPr>
          <w:color w:val="auto"/>
          <w:highlight w:val="none"/>
        </w:rPr>
      </w:r>
      <w:r/>
    </w:p>
    <w:tbl>
      <w:tblPr>
        <w:tblStyle w:val="816"/>
        <w:tblW w:w="892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olor w:val="auto"/>
                <w:sz w:val="24"/>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rPr>
                <w:rFonts w:ascii="仿宋" w:hAnsi="仿宋" w:eastAsia="仿宋" w:cs="仿宋"/>
                <w:caps/>
                <w:color w:val="auto"/>
                <w:sz w:val="24"/>
                <w:highlight w:val="none"/>
              </w:rPr>
            </w:pPr>
            <w:r>
              <w:rPr>
                <w:rFonts w:hint="eastAsia" w:ascii="仿宋" w:hAnsi="仿宋" w:eastAsia="仿宋" w:cs="仿宋"/>
                <w:caps/>
                <w:color w:val="auto"/>
                <w:sz w:val="24"/>
                <w:highlight w:val="none"/>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rPr>
                <w:rFonts w:ascii="仿宋" w:hAnsi="仿宋" w:eastAsia="仿宋" w:cs="仿宋"/>
                <w:color w:val="auto"/>
                <w:sz w:val="24"/>
                <w:highlight w:val="none"/>
              </w:rPr>
            </w:pPr>
            <w:r>
              <w:rPr>
                <w:rFonts w:ascii="仿宋" w:hAnsi="仿宋" w:eastAsia="仿宋" w:cs="仿宋"/>
                <w:color w:val="auto"/>
                <w:sz w:val="24"/>
                <w:highlight w:val="none"/>
              </w:rPr>
            </w:r>
            <w:r/>
          </w:p>
        </w:tc>
      </w:tr>
    </w:tbl>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注：投标人的投标文件中的内容与招标文件（含招标文件的澄清或者修改的内容，下同）的要求不同时，逐条列在偏离表中，否则将认为投标人接受招标文件的要求。</w:t>
      </w:r>
      <w:r/>
    </w:p>
    <w:p>
      <w:pPr>
        <w:rPr>
          <w:rFonts w:ascii="仿宋" w:hAnsi="仿宋" w:eastAsia="仿宋" w:cs="仿宋"/>
          <w:color w:val="auto"/>
          <w:sz w:val="24"/>
          <w:highlight w:val="none"/>
          <w:u w:val="single"/>
        </w:rPr>
      </w:pPr>
      <w:r>
        <w:rPr>
          <w:rFonts w:ascii="仿宋" w:hAnsi="仿宋" w:eastAsia="仿宋" w:cs="仿宋"/>
          <w:color w:val="auto"/>
          <w:sz w:val="24"/>
          <w:highlight w:val="none"/>
          <w:u w:val="singl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sz w:val="24"/>
          <w:highlight w:val="none"/>
        </w:rPr>
      </w:pPr>
      <w:r>
        <w:rPr>
          <w:rFonts w:ascii="仿宋" w:hAnsi="仿宋" w:eastAsia="仿宋" w:cs="仿宋"/>
          <w:color w:val="auto"/>
          <w:sz w:val="24"/>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ind w:firstLine="560"/>
        <w:jc w:val="center"/>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5. 授权委托书</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地  址：</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               职务：</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统一社会信用代码：</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                   性别：男（女）  </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年龄：  岁                 民族：   族</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职务：</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身份证号：</w:t>
      </w:r>
      <w:r/>
    </w:p>
    <w:p>
      <w:pPr>
        <w:ind w:firstLine="480"/>
        <w:jc w:val="left"/>
        <w:rPr>
          <w:rFonts w:ascii="仿宋" w:hAnsi="仿宋" w:eastAsia="仿宋" w:cs="仿宋"/>
          <w:color w:val="auto"/>
          <w:sz w:val="24"/>
          <w:highlight w:val="none"/>
        </w:rPr>
      </w:pPr>
      <w:r>
        <w:rPr>
          <w:rFonts w:hint="eastAsia" w:ascii="仿宋" w:hAnsi="仿宋" w:eastAsia="仿宋" w:cs="仿宋"/>
          <w:color w:val="auto"/>
          <w:sz w:val="24"/>
          <w:highlight w:val="none"/>
        </w:rPr>
        <w:t xml:space="preserve">兹委托（      ）全权代表我企业（公司）参与（徐州市检验检测中心餐厅原材料配送）项目（项目编号：）的招、投标活动及签订合同。（         ）以我企业（公司）名义所为的法律行为及签署的文件，我企业（公司）均予以认可。有关法律责任均由我企业（公司）承担。（         ）无转委托权。委托期限自   年  月   日起至  年  月    日止。</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特此授权委托。</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委托人（公章）：                      受托人（签字）：</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法定代表人（负责人）（签字）： </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   年   月   日 </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(受托人身份证原件扫描件附后)</w:t>
      </w:r>
      <w:r/>
    </w:p>
    <w:p>
      <w:pPr>
        <w:ind w:firstLine="560"/>
        <w:jc w:val="center"/>
        <w:spacing w:line="38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jc w:val="center"/>
        <w:spacing w:line="380" w:lineRule="exact"/>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6.中小企业声明函</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项目名称：徐州市检验检测中心餐厅原材料配送</w:t>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rPr>
          <w:rFonts w:hint="eastAsia" w:ascii="仿宋" w:hAnsi="仿宋" w:eastAsia="仿宋" w:cs="仿宋"/>
          <w:color w:val="auto"/>
          <w:sz w:val="24"/>
          <w:highlight w:val="none"/>
        </w:rPr>
        <w:t xml:space="preserve"> </w:t>
      </w:r>
      <w:r/>
    </w:p>
    <w:p>
      <w:pPr>
        <w:ind w:firstLine="480"/>
        <w:spacing w:line="3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本公司郑重声明，根据《政府采购促进中小企业发展管理办法》（财库[2020]46号）的规定，本公司参加的（徐州市检验检测中心餐厅原材料配送）采购活动，提供的货物全部由符合政策要求的中小企业制造。相关企业的具体情况如下：</w:t>
      </w:r>
      <w:r/>
    </w:p>
    <w:p>
      <w:pPr>
        <w:ind w:firstLine="480"/>
        <w:jc w:val="left"/>
        <w:spacing w:line="460" w:lineRule="exact"/>
        <w:rPr>
          <w:rFonts w:ascii="仿宋" w:hAnsi="仿宋" w:eastAsia="仿宋" w:cs="仿宋"/>
          <w:color w:val="auto"/>
          <w:sz w:val="24"/>
          <w:highlight w:val="none"/>
        </w:rPr>
      </w:pPr>
      <w:r>
        <w:rPr>
          <w:rFonts w:hint="eastAsia" w:ascii="仿宋" w:hAnsi="仿宋" w:eastAsia="仿宋" w:cs="仿宋"/>
          <w:color w:val="auto"/>
          <w:sz w:val="24"/>
          <w:highlight w:val="none"/>
          <w:u w:val="single"/>
        </w:rPr>
        <w:t xml:space="preserve">1.（徐州市检验检测中心餐厅原材料配送）</w:t>
      </w:r>
      <w:r>
        <w:rPr>
          <w:rFonts w:hint="eastAsia" w:ascii="仿宋" w:hAnsi="仿宋" w:eastAsia="仿宋" w:cs="仿宋"/>
          <w:color w:val="auto"/>
          <w:sz w:val="24"/>
          <w:highlight w:val="none"/>
        </w:rPr>
        <w:t xml:space="preserve">，属于</w:t>
      </w:r>
      <w:r>
        <w:rPr>
          <w:rFonts w:hint="eastAsia" w:ascii="仿宋" w:hAnsi="仿宋" w:eastAsia="仿宋" w:cs="仿宋"/>
          <w:color w:val="auto"/>
          <w:sz w:val="24"/>
          <w:highlight w:val="none"/>
          <w:u w:val="single"/>
        </w:rPr>
        <w:t xml:space="preserve">（批发业）</w:t>
      </w:r>
      <w:r>
        <w:rPr>
          <w:rFonts w:hint="eastAsia" w:ascii="仿宋" w:hAnsi="仿宋" w:eastAsia="仿宋" w:cs="仿宋"/>
          <w:color w:val="auto"/>
          <w:sz w:val="24"/>
          <w:highlight w:val="none"/>
        </w:rPr>
        <w:t xml:space="preserve">；承接企业为（    ），从业人员（  ）人，营业收入为（   万元），资产总额为（  万元）①，属于</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w:t>
      </w:r>
      <w:r>
        <w:rPr>
          <w:rFonts w:ascii="Wingdings 2" w:hAnsi="Wingdings 2" w:eastAsia="Wingdings 2" w:cs="Wingdings 2"/>
          <w:b/>
          <w:bCs/>
          <w:color w:val="auto"/>
          <w:sz w:val="24"/>
          <w:highlight w:val="none"/>
        </w:rPr>
        <w:t xml:space="preserve"></w:t>
      </w:r>
      <w:r>
        <w:rPr>
          <w:rFonts w:hint="eastAsia" w:ascii="宋体" w:hAnsi="宋体" w:cs="宋体"/>
          <w:b/>
          <w:bCs/>
          <w:color w:val="auto"/>
          <w:sz w:val="24"/>
          <w:highlight w:val="none"/>
        </w:rPr>
        <w:t xml:space="preserve">中型企业、</w:t>
      </w:r>
      <w:r>
        <w:rPr>
          <w:rFonts w:ascii="Wingdings 2" w:hAnsi="Wingdings 2" w:eastAsia="Wingdings 2" w:cs="Wingdings 2"/>
          <w:b/>
          <w:bCs/>
          <w:color w:val="auto"/>
          <w:sz w:val="24"/>
          <w:highlight w:val="none"/>
        </w:rPr>
        <w:t xml:space="preserve"></w:t>
      </w:r>
      <w:r>
        <w:rPr>
          <w:rFonts w:hint="eastAsia" w:ascii="宋体" w:hAnsi="宋体" w:cs="宋体"/>
          <w:b/>
          <w:bCs/>
          <w:color w:val="auto"/>
          <w:sz w:val="24"/>
          <w:highlight w:val="none"/>
        </w:rPr>
        <w:t xml:space="preserve">小型企业、</w:t>
      </w:r>
      <w:r>
        <w:rPr>
          <w:rFonts w:ascii="Wingdings 2" w:hAnsi="Wingdings 2" w:eastAsia="Wingdings 2" w:cs="Wingdings 2"/>
          <w:b/>
          <w:bCs/>
          <w:color w:val="auto"/>
          <w:sz w:val="24"/>
          <w:highlight w:val="none"/>
        </w:rPr>
        <w:t xml:space="preserve"></w:t>
      </w:r>
      <w:r>
        <w:rPr>
          <w:rFonts w:hint="eastAsia" w:ascii="宋体" w:hAnsi="宋体" w:cs="宋体"/>
          <w:b/>
          <w:bCs/>
          <w:color w:val="auto"/>
          <w:sz w:val="24"/>
          <w:highlight w:val="none"/>
        </w:rPr>
        <w:t xml:space="preserve">微型企业</w:t>
      </w:r>
      <w:r>
        <w:rPr>
          <w:rFonts w:hint="eastAsia" w:ascii="仿宋" w:hAnsi="仿宋" w:eastAsia="仿宋" w:cs="仿宋"/>
          <w:color w:val="auto"/>
          <w:sz w:val="24"/>
          <w:highlight w:val="none"/>
        </w:rPr>
        <w:t xml:space="preserve">，</w:t>
      </w:r>
      <w:r>
        <w:rPr>
          <w:rFonts w:hint="eastAsia" w:ascii="仿宋" w:hAnsi="仿宋" w:eastAsia="仿宋" w:cs="仿宋"/>
          <w:b/>
          <w:color w:val="auto"/>
          <w:sz w:val="24"/>
          <w:highlight w:val="none"/>
        </w:rPr>
        <w:t xml:space="preserve">请勾选！</w:t>
      </w:r>
      <w:r>
        <w:rPr>
          <w:rFonts w:hint="eastAsia" w:ascii="仿宋" w:hAnsi="仿宋" w:eastAsia="仿宋" w:cs="仿宋"/>
          <w:color w:val="auto"/>
          <w:sz w:val="24"/>
          <w:highlight w:val="none"/>
        </w:rPr>
        <w:t xml:space="preserve">）；</w:t>
      </w:r>
      <w:r/>
    </w:p>
    <w:p>
      <w:pPr>
        <w:ind w:firstLine="480"/>
        <w:spacing w:line="380" w:lineRule="exact"/>
        <w:rPr>
          <w:rFonts w:ascii="仿宋" w:hAnsi="仿宋" w:eastAsia="仿宋" w:cs="仿宋"/>
          <w:color w:val="auto"/>
          <w:sz w:val="24"/>
          <w:highlight w:val="none"/>
        </w:rPr>
      </w:pPr>
      <w:r>
        <w:rPr>
          <w:rFonts w:ascii="仿宋" w:hAnsi="仿宋" w:eastAsia="仿宋" w:cs="仿宋"/>
          <w:color w:val="auto"/>
          <w:sz w:val="24"/>
          <w:highlight w:val="none"/>
        </w:rPr>
      </w:r>
      <w:r/>
    </w:p>
    <w:p>
      <w:pPr>
        <w:ind w:left="420" w:firstLine="480"/>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480"/>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以上企业，不属于大企业的分支机构，不存在控股股东为大企业的情形，也不存在与大企业的负责人为同一人的情形。</w:t>
      </w:r>
      <w:r/>
    </w:p>
    <w:p>
      <w:pPr>
        <w:ind w:firstLine="480"/>
        <w:spacing w:after="120"/>
        <w:rPr>
          <w:rFonts w:ascii="仿宋" w:hAnsi="仿宋" w:eastAsia="仿宋" w:cs="仿宋"/>
          <w:color w:val="auto"/>
          <w:sz w:val="24"/>
          <w:highlight w:val="none"/>
        </w:rPr>
      </w:pPr>
      <w:r>
        <w:rPr>
          <w:rFonts w:hint="eastAsia" w:ascii="仿宋" w:hAnsi="仿宋" w:eastAsia="仿宋" w:cs="仿宋"/>
          <w:color w:val="auto"/>
          <w:sz w:val="24"/>
          <w:highlight w:val="none"/>
        </w:rPr>
        <w:t xml:space="preserve">本企业对上述声明内容的真实性负责。如有虚假，将依法承担相应责任。</w:t>
      </w:r>
      <w:r/>
    </w:p>
    <w:p>
      <w:pPr>
        <w:pStyle w:val="825"/>
        <w:ind w:right="480" w:firstLine="360"/>
        <w:rPr>
          <w:rFonts w:ascii="仿宋" w:hAnsi="仿宋" w:eastAsia="仿宋" w:cs="仿宋"/>
          <w:color w:val="auto"/>
          <w:sz w:val="24"/>
          <w:highlight w:val="none"/>
        </w:rPr>
      </w:pPr>
      <w:r>
        <w:rPr>
          <w:rFonts w:ascii="仿宋" w:hAnsi="仿宋" w:eastAsia="仿宋" w:cs="仿宋"/>
          <w:color w:val="auto"/>
          <w:sz w:val="24"/>
          <w:highlight w:val="none"/>
        </w:rPr>
      </w:r>
      <w:r/>
    </w:p>
    <w:p>
      <w:pPr>
        <w:pStyle w:val="825"/>
        <w:ind w:right="480" w:firstLine="264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企业名称（电子签章）：</w:t>
      </w:r>
      <w:r>
        <w:rPr>
          <w:rFonts w:hint="eastAsia" w:ascii="仿宋" w:hAnsi="仿宋" w:eastAsia="仿宋" w:cs="仿宋"/>
          <w:color w:val="auto"/>
          <w:sz w:val="24"/>
          <w:highlight w:val="none"/>
          <w:u w:val="single"/>
        </w:rPr>
        <w:t xml:space="preserve">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pStyle w:val="825"/>
        <w:ind w:right="480" w:firstLine="3240"/>
        <w:rPr>
          <w:rFonts w:ascii="仿宋" w:hAnsi="仿宋" w:eastAsia="仿宋" w:cs="仿宋"/>
          <w:color w:val="auto"/>
          <w:sz w:val="24"/>
          <w:highlight w:val="none"/>
        </w:rPr>
      </w:pPr>
      <w:r>
        <w:rPr>
          <w:rFonts w:ascii="仿宋" w:hAnsi="仿宋" w:eastAsia="仿宋" w:cs="仿宋"/>
          <w:color w:val="auto"/>
          <w:sz w:val="24"/>
          <w:highlight w:val="none"/>
        </w:rPr>
      </w:r>
      <w:r/>
    </w:p>
    <w:p>
      <w:pPr>
        <w:pStyle w:val="825"/>
        <w:ind w:left="0"/>
        <w:rPr>
          <w:rFonts w:ascii="仿宋" w:hAnsi="仿宋" w:eastAsia="仿宋" w:cs="仿宋"/>
          <w:color w:val="auto"/>
          <w:sz w:val="24"/>
          <w:highlight w:val="none"/>
        </w:rPr>
      </w:pPr>
      <w:r>
        <w:rPr>
          <w:rFonts w:ascii="仿宋" w:hAnsi="仿宋" w:eastAsia="仿宋" w:cs="仿宋"/>
          <w:color w:val="auto"/>
          <w:sz w:val="24"/>
          <w:highlight w:val="none"/>
        </w:rPr>
      </w:r>
      <w:r/>
    </w:p>
    <w:p>
      <w:pPr>
        <w:pStyle w:val="1009"/>
        <w:spacing w:line="520" w:lineRule="exact"/>
        <w:widowControl/>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备注：1.从业人员、营业收入、资产总额填报上一年度数据，无上一年度数据的新成立企业可不填报。</w:t>
      </w:r>
      <w:r/>
    </w:p>
    <w:p>
      <w:pPr>
        <w:pStyle w:val="1009"/>
        <w:spacing w:line="520" w:lineRule="exact"/>
        <w:widowControl/>
        <w:rPr>
          <w:rFonts w:ascii="仿宋" w:hAnsi="仿宋" w:eastAsia="仿宋" w:cs="仿宋"/>
          <w:color w:val="auto"/>
          <w:sz w:val="28"/>
          <w:szCs w:val="28"/>
          <w:highlight w:val="none"/>
        </w:rPr>
      </w:pPr>
      <w:r>
        <w:rPr>
          <w:rFonts w:hint="eastAsia" w:ascii="仿宋" w:hAnsi="仿宋" w:eastAsia="仿宋" w:cs="仿宋"/>
          <w:b/>
          <w:bCs/>
          <w:color w:val="auto"/>
          <w:sz w:val="24"/>
          <w:highlight w:val="none"/>
        </w:rPr>
        <w:t xml:space="preserve">2.《中小企业声明函》查询渠道参考工业和信息化部发布的中小企业规模自测小程序。</w:t>
      </w:r>
      <w:r/>
    </w:p>
    <w:p>
      <w:pPr>
        <w:pStyle w:val="1009"/>
        <w:jc w:val="center"/>
        <w:rPr>
          <w:rFonts w:ascii="宋体" w:hAnsi="宋体" w:cs="宋体"/>
          <w:color w:val="auto"/>
          <w:sz w:val="28"/>
          <w:szCs w:val="28"/>
          <w:highlight w:val="none"/>
        </w:rPr>
      </w:pPr>
      <w:r>
        <w:rPr>
          <w:rFonts w:ascii="宋体" w:hAnsi="宋体" w:cs="宋体"/>
          <w:color w:val="auto"/>
          <w:sz w:val="30"/>
          <w:szCs w:val="30"/>
          <w:highlight w:val="none"/>
        </w:rPr>
        <mc:AlternateContent>
          <mc:Choice Requires="wpg">
            <w:drawing>
              <wp:inline xmlns:wp="http://schemas.openxmlformats.org/drawingml/2006/wordprocessingDrawing" distT="0" distB="0" distL="0" distR="0">
                <wp:extent cx="3328035" cy="7194550"/>
                <wp:effectExtent l="0" t="0" r="5715" b="6350"/>
                <wp:docPr id="5" name="图片 1" descr="D:\我的文档\Documents\WeChat Files\xiaosangtongxue\FileStorage\Temp\b78abd1964c3014bb18d5d0fead53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D:\我的文档\Documents\WeChat Files\xiaosangtongxue\FileStorage\Temp\b78abd1964c3014bb18d5d0fead537d.jpg"/>
                        <pic:cNvPicPr>
                          <a:picLocks noChangeAspect="1"/>
                        </pic:cNvPicPr>
                        <pic:nvPr/>
                      </pic:nvPicPr>
                      <pic:blipFill>
                        <a:blip r:embed="rId17"/>
                        <a:stretch/>
                      </pic:blipFill>
                      <pic:spPr bwMode="auto">
                        <a:xfrm>
                          <a:off x="0" y="0"/>
                          <a:ext cx="3328452" cy="71951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2.1pt;height:566.5pt;mso-wrap-distance-left:0.0pt;mso-wrap-distance-top:0.0pt;mso-wrap-distance-right:0.0pt;mso-wrap-distance-bottom:0.0pt;" stroked="f" strokeweight="0.75pt">
                <v:path textboxrect="0,0,0,0"/>
                <v:imagedata r:id="rId17" o:title=""/>
              </v:shape>
            </w:pict>
          </mc:Fallback>
        </mc:AlternateContent>
      </w:r>
      <w:r/>
    </w:p>
    <w:p>
      <w:pPr>
        <w:pStyle w:val="1019"/>
        <w:jc w:val="both"/>
        <w:spacing w:before="0" w:beforeAutospacing="0" w:after="0" w:afterAutospacing="0"/>
        <w:shd w:val="clear" w:color="auto" w:fill="ffffff"/>
        <w:rPr>
          <w:rFonts w:cs="宋体"/>
          <w:color w:val="auto"/>
          <w:highlight w:val="none"/>
        </w:rPr>
      </w:pPr>
      <w:r>
        <w:rPr>
          <w:rFonts w:cs="宋体"/>
          <w:color w:val="auto"/>
          <w:highlight w:val="none"/>
        </w:rPr>
      </w:r>
      <w:r/>
    </w:p>
    <w:p>
      <w:pPr>
        <w:pStyle w:val="1019"/>
        <w:jc w:val="both"/>
        <w:spacing w:before="0" w:beforeAutospacing="0" w:after="0" w:afterAutospacing="0"/>
        <w:shd w:val="clear" w:color="auto" w:fill="ffffff"/>
        <w:rPr>
          <w:rFonts w:cs="宋体"/>
          <w:color w:val="auto"/>
          <w:highlight w:val="none"/>
        </w:rPr>
      </w:pPr>
      <w:r>
        <w:rPr>
          <w:rFonts w:cs="宋体"/>
          <w:color w:val="auto"/>
          <w:highlight w:val="none"/>
        </w:rPr>
      </w:r>
      <w:r/>
    </w:p>
    <w:p>
      <w:pP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 投标人参加政府采购活动前3年内在经营活动中没有重大违法记录的书面声明</w:t>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我单位在参加（徐州市检验检测中心餐厅原材料配送）项目（项目编号：</w:t>
      </w:r>
      <w:r>
        <w:rPr>
          <w:rFonts w:hint="eastAsia" w:ascii="仿宋" w:hAnsi="仿宋" w:eastAsia="仿宋" w:cs="仿宋"/>
          <w:color w:val="auto"/>
          <w:sz w:val="24"/>
          <w:highlight w:val="none"/>
          <w:lang w:eastAsia="zh-CN"/>
        </w:rPr>
        <w:t xml:space="preserve">JSZC-320300-HCGS-G2025-0013</w:t>
      </w:r>
      <w:r>
        <w:rPr>
          <w:rFonts w:hint="eastAsia" w:ascii="仿宋" w:hAnsi="仿宋" w:eastAsia="仿宋" w:cs="仿宋"/>
          <w:color w:val="auto"/>
          <w:sz w:val="24"/>
          <w:highlight w:val="none"/>
        </w:rPr>
        <w:t xml:space="preserve"> ）政府采购活动前3年内在经营活动中没有重大违法记录。重大违法记录是指因违法经营受到刑事处罚或者责令停产停业、吊销许可证或者执照、较大数额罚款等行政处罚。</w:t>
      </w:r>
      <w:r/>
    </w:p>
    <w:p>
      <w:pPr>
        <w:pStyle w:val="844"/>
        <w:ind w:firstLine="480"/>
        <w:rPr>
          <w:rFonts w:ascii="仿宋" w:hAnsi="仿宋" w:eastAsia="仿宋" w:cs="仿宋"/>
          <w:color w:val="auto"/>
          <w:highlight w:val="none"/>
        </w:rPr>
      </w:pPr>
      <w:r>
        <w:rPr>
          <w:rFonts w:hint="eastAsia" w:ascii="仿宋" w:hAnsi="仿宋" w:eastAsia="仿宋" w:cs="仿宋"/>
          <w:color w:val="auto"/>
          <w:highlight w:val="none"/>
        </w:rPr>
        <w:t xml:space="preserve">我单位对上述声明的真实性负责。如有虚假，将依法承担相应责任。</w:t>
      </w:r>
      <w:r/>
    </w:p>
    <w:p>
      <w:pPr>
        <w:ind w:firstLine="70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ind w:firstLine="3990"/>
        <w:spacing w:line="36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3990"/>
        <w:spacing w:line="360" w:lineRule="auto"/>
        <w:rPr>
          <w:rFonts w:ascii="仿宋" w:hAnsi="仿宋" w:eastAsia="仿宋" w:cs="仿宋"/>
          <w:color w:val="auto"/>
          <w:highlight w:val="none"/>
        </w:rPr>
      </w:pPr>
      <w:r>
        <w:rPr>
          <w:rFonts w:ascii="仿宋" w:hAnsi="仿宋" w:eastAsia="仿宋" w:cs="仿宋"/>
          <w:color w:val="auto"/>
          <w:highlight w:val="none"/>
        </w:rPr>
      </w:r>
      <w:r/>
    </w:p>
    <w:p>
      <w:pPr>
        <w:ind w:firstLine="56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p>
    <w:p>
      <w:pPr>
        <w:ind w:firstLine="560"/>
        <w:jc w:val="center"/>
        <w:spacing w:line="588" w:lineRule="exact"/>
        <w:rPr>
          <w:rFonts w:ascii="仿宋" w:hAnsi="仿宋" w:eastAsia="仿宋" w:cs="仿宋"/>
          <w:color w:val="auto"/>
          <w:spacing w:val="6"/>
          <w:sz w:val="28"/>
          <w:szCs w:val="28"/>
          <w:highlight w:val="none"/>
        </w:rPr>
      </w:pPr>
      <w:r>
        <w:rPr>
          <w:rFonts w:hint="eastAsia" w:ascii="仿宋" w:hAnsi="仿宋" w:eastAsia="仿宋" w:cs="仿宋"/>
          <w:color w:val="auto"/>
          <w:sz w:val="28"/>
          <w:szCs w:val="28"/>
          <w:highlight w:val="none"/>
        </w:rPr>
        <w:t xml:space="preserve">8.</w:t>
      </w:r>
      <w:bookmarkStart w:id="2" w:name="OLE_LINK14"/>
      <w:r/>
      <w:bookmarkStart w:id="3" w:name="OLE_LINK13"/>
      <w:r>
        <w:rPr>
          <w:rFonts w:hint="eastAsia" w:ascii="仿宋" w:hAnsi="仿宋" w:eastAsia="仿宋" w:cs="仿宋"/>
          <w:color w:val="auto"/>
          <w:spacing w:val="6"/>
          <w:sz w:val="28"/>
          <w:szCs w:val="28"/>
          <w:highlight w:val="none"/>
        </w:rPr>
        <w:t xml:space="preserve"> 残疾人福利性单位声明函</w:t>
      </w:r>
      <w:bookmarkEnd w:id="2"/>
      <w:r/>
      <w:bookmarkEnd w:id="3"/>
      <w:r/>
      <w:r/>
    </w:p>
    <w:p>
      <w:pPr>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项目名称：徐州市检验检测中心餐厅原材料配送</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rPr>
          <w:rFonts w:hint="eastAsia" w:ascii="仿宋" w:hAnsi="仿宋" w:eastAsia="仿宋" w:cs="仿宋"/>
          <w:color w:val="auto"/>
          <w:sz w:val="24"/>
          <w:highlight w:val="none"/>
        </w:rPr>
        <w:t xml:space="preserve"> </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本单位郑重声明，根据《财政部 民政部 中国残疾人联合会关于促进残疾人就业政府采购政策的通知》（财库</w:t>
      </w:r>
      <w:r>
        <w:rPr>
          <w:rFonts w:hint="eastAsia" w:ascii="仿宋" w:hAnsi="仿宋" w:eastAsia="仿宋" w:cs="仿宋"/>
          <w:color w:val="auto"/>
          <w:sz w:val="24"/>
          <w:highlight w:val="none"/>
        </w:rPr>
        <w:t xml:space="preserve">〔2017〕 141</w:t>
      </w:r>
      <w:r>
        <w:rPr>
          <w:rFonts w:hint="eastAsia" w:ascii="仿宋" w:hAnsi="仿宋" w:eastAsia="仿宋" w:cs="仿宋"/>
          <w:color w:val="auto"/>
          <w:spacing w:val="6"/>
          <w:sz w:val="24"/>
          <w:highlight w:val="none"/>
        </w:rPr>
        <w:t xml:space="preserve">号）的规定，本单位为符合条件的残疾人福利性单位，且本单位参加的</w:t>
      </w:r>
      <w:r>
        <w:rPr>
          <w:rFonts w:hint="eastAsia" w:ascii="仿宋" w:hAnsi="仿宋" w:eastAsia="仿宋" w:cs="仿宋"/>
          <w:color w:val="auto"/>
          <w:spacing w:val="6"/>
          <w:sz w:val="24"/>
          <w:highlight w:val="none"/>
          <w:u w:val="single"/>
        </w:rPr>
        <w:t xml:space="preserve">徐州市检验检测中心餐厅原材料配送</w:t>
      </w:r>
      <w:r>
        <w:rPr>
          <w:rFonts w:hint="eastAsia" w:ascii="仿宋" w:hAnsi="仿宋" w:eastAsia="仿宋" w:cs="仿宋"/>
          <w:color w:val="auto"/>
          <w:spacing w:val="6"/>
          <w:sz w:val="24"/>
          <w:highlight w:val="none"/>
        </w:rPr>
        <w:t xml:space="preserve">采购活动提供服务，或者提供其他残疾人福利性单位制造的货物（不包括使用非残疾人福利性单位注册商标的货物）。</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本单位对上述声明的真实性负责。如有虚假，将依法承担相应责任。</w:t>
      </w:r>
      <w:r/>
    </w:p>
    <w:p>
      <w:pPr>
        <w:ind w:firstLine="58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8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right="-58" w:firstLine="504"/>
        <w:jc w:val="center"/>
        <w:spacing w:line="588" w:lineRule="exact"/>
        <w:tabs>
          <w:tab w:val="left" w:pos="4860" w:leader="none"/>
        </w:tabs>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单位名称</w:t>
      </w:r>
      <w:r>
        <w:rPr>
          <w:rFonts w:hint="eastAsia" w:ascii="仿宋" w:hAnsi="仿宋" w:eastAsia="仿宋" w:cs="仿宋"/>
          <w:color w:val="auto"/>
          <w:spacing w:val="6"/>
          <w:sz w:val="24"/>
          <w:highlight w:val="none"/>
          <w:u w:val="single"/>
        </w:rPr>
        <w:t xml:space="preserve">         </w:t>
      </w:r>
      <w:r>
        <w:rPr>
          <w:rFonts w:hint="eastAsia" w:ascii="仿宋" w:hAnsi="仿宋" w:eastAsia="仿宋" w:cs="仿宋"/>
          <w:color w:val="auto"/>
          <w:spacing w:val="6"/>
          <w:sz w:val="24"/>
          <w:highlight w:val="none"/>
        </w:rPr>
        <w:t xml:space="preserve">（电子签章）：</w:t>
      </w:r>
      <w:r/>
    </w:p>
    <w:p>
      <w:pPr>
        <w:ind w:right="1560" w:firstLine="504"/>
        <w:jc w:val="center"/>
        <w:spacing w:line="588" w:lineRule="exact"/>
        <w:tabs>
          <w:tab w:val="left" w:pos="4860" w:leader="none"/>
        </w:tabs>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       日  期：</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说明：</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供应商提供的《残疾人福利性单位声明函》与事实不符的，依照《政府采购法》第七十七条第一款的规定追究法律责任。</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br w:type="page" w:clear="all"/>
      </w:r>
      <w:r/>
    </w:p>
    <w:p>
      <w:pPr>
        <w:ind w:firstLine="560"/>
        <w:jc w:val="center"/>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9.</w:t>
      </w:r>
      <w:r>
        <w:rPr>
          <w:rFonts w:hint="eastAsia" w:ascii="仿宋" w:hAnsi="仿宋" w:eastAsia="仿宋" w:cs="仿宋"/>
          <w:bCs/>
          <w:color w:val="auto"/>
          <w:sz w:val="28"/>
          <w:szCs w:val="28"/>
          <w:highlight w:val="none"/>
        </w:rPr>
        <w:t xml:space="preserve"> 具备履行合同所必需的设备和专业技术能力的书面声明</w:t>
      </w:r>
      <w:r/>
    </w:p>
    <w:p>
      <w:pPr>
        <w:ind w:firstLine="560"/>
        <w:jc w:val="center"/>
        <w:rPr>
          <w:rFonts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（附证明材料</w:t>
      </w:r>
      <w:r>
        <w:rPr>
          <w:rFonts w:hint="eastAsia" w:ascii="仿宋" w:hAnsi="仿宋" w:eastAsia="仿宋" w:cs="仿宋"/>
          <w:color w:val="auto"/>
          <w:sz w:val="28"/>
          <w:szCs w:val="28"/>
          <w:highlight w:val="none"/>
        </w:rPr>
        <w:t xml:space="preserve">原件的扫描件</w:t>
      </w:r>
      <w:r>
        <w:rPr>
          <w:rFonts w:hint="eastAsia" w:ascii="仿宋" w:hAnsi="仿宋" w:eastAsia="仿宋" w:cs="仿宋"/>
          <w:bCs/>
          <w:color w:val="auto"/>
          <w:sz w:val="28"/>
          <w:szCs w:val="28"/>
          <w:highlight w:val="none"/>
        </w:rPr>
        <w:t xml:space="preserve">）</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项目名称：徐州市检验检测中心餐厅原材料配送</w:t>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rPr>
          <w:rFonts w:hint="eastAsia" w:ascii="仿宋" w:hAnsi="仿宋" w:eastAsia="仿宋" w:cs="仿宋"/>
          <w:color w:val="auto"/>
          <w:sz w:val="24"/>
          <w:highlight w:val="none"/>
        </w:rPr>
        <w:t xml:space="preserve"> </w:t>
      </w:r>
      <w:r/>
    </w:p>
    <w:p>
      <w:pPr>
        <w:ind w:firstLine="480"/>
        <w:jc w:val="left"/>
        <w:widowControl/>
        <w:rPr>
          <w:rFonts w:ascii="仿宋" w:hAnsi="仿宋" w:eastAsia="仿宋" w:cs="仿宋"/>
          <w:color w:val="auto"/>
          <w:sz w:val="24"/>
          <w:highlight w:val="none"/>
        </w:rPr>
      </w:pPr>
      <w:r>
        <w:rPr>
          <w:rFonts w:hint="eastAsia" w:ascii="仿宋" w:hAnsi="仿宋" w:eastAsia="仿宋" w:cs="仿宋"/>
          <w:color w:val="auto"/>
          <w:sz w:val="24"/>
          <w:highlight w:val="none"/>
        </w:rPr>
        <w:t xml:space="preserve">   </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投标人郑重声明：投标人具备履行合同（项目名称：徐州市检验检测中心餐厅原材料配送，项目编号：）所必需的设备和专业技术能力，具体为：</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设备：</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（证明材料原件的扫描件附后）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（证明材料原件的扫描件附后）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（证明材料原件的扫描件附后）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专业技术能力：</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（证明材料原件的扫描件附后）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（证明材料原件的扫描件附后）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（证明材料原件的扫描件附后）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p>
    <w:p>
      <w:pPr>
        <w:ind w:firstLine="480"/>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特此声明。</w:t>
      </w:r>
      <w:r/>
    </w:p>
    <w:p>
      <w:pPr>
        <w:ind w:firstLine="480"/>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投标人对上述声明的真实性负责。如有虚假，将依法承担相应责任。</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pStyle w:val="826"/>
        <w:rPr>
          <w:rFonts w:ascii="仿宋" w:hAnsi="仿宋" w:cs="仿宋"/>
          <w:color w:val="auto"/>
          <w:sz w:val="30"/>
          <w:szCs w:val="30"/>
          <w:highlight w:val="none"/>
        </w:rPr>
      </w:pPr>
      <w:r>
        <w:rPr>
          <w:rFonts w:ascii="仿宋" w:hAnsi="仿宋" w:cs="仿宋"/>
          <w:color w:val="auto"/>
          <w:sz w:val="30"/>
          <w:szCs w:val="30"/>
          <w:highlight w:val="none"/>
        </w:rPr>
      </w:r>
      <w:r/>
    </w:p>
    <w:p>
      <w:pPr>
        <w:pStyle w:val="826"/>
        <w:rPr>
          <w:rFonts w:ascii="仿宋" w:hAnsi="仿宋" w:cs="仿宋"/>
          <w:color w:val="auto"/>
          <w:sz w:val="30"/>
          <w:szCs w:val="30"/>
          <w:highlight w:val="none"/>
        </w:rPr>
      </w:pPr>
      <w:r>
        <w:rPr>
          <w:rFonts w:ascii="仿宋" w:hAnsi="仿宋" w:cs="仿宋"/>
          <w:color w:val="auto"/>
          <w:sz w:val="30"/>
          <w:szCs w:val="30"/>
          <w:highlight w:val="none"/>
        </w:rPr>
      </w:r>
      <w:r/>
    </w:p>
    <w:p>
      <w:pPr>
        <w:pStyle w:val="826"/>
        <w:rPr>
          <w:rFonts w:ascii="仿宋" w:hAnsi="仿宋" w:cs="仿宋"/>
          <w:color w:val="auto"/>
          <w:sz w:val="30"/>
          <w:szCs w:val="30"/>
          <w:highlight w:val="none"/>
        </w:rPr>
      </w:pPr>
      <w:r>
        <w:rPr>
          <w:rFonts w:ascii="仿宋" w:hAnsi="仿宋" w:cs="仿宋"/>
          <w:color w:val="auto"/>
          <w:sz w:val="30"/>
          <w:szCs w:val="30"/>
          <w:highlight w:val="none"/>
        </w:rPr>
      </w:r>
      <w:r/>
    </w:p>
    <w:p>
      <w:pPr>
        <w:pStyle w:val="826"/>
        <w:rPr>
          <w:rFonts w:ascii="仿宋" w:hAnsi="仿宋" w:cs="仿宋"/>
          <w:color w:val="auto"/>
          <w:sz w:val="30"/>
          <w:szCs w:val="30"/>
          <w:highlight w:val="none"/>
        </w:rPr>
      </w:pPr>
      <w:r>
        <w:rPr>
          <w:rFonts w:ascii="仿宋" w:hAnsi="仿宋" w:cs="仿宋"/>
          <w:color w:val="auto"/>
          <w:sz w:val="30"/>
          <w:szCs w:val="30"/>
          <w:highlight w:val="none"/>
        </w:rPr>
      </w:r>
      <w:r/>
    </w:p>
    <w:p>
      <w:pPr>
        <w:pStyle w:val="826"/>
        <w:rPr>
          <w:rFonts w:ascii="仿宋" w:hAnsi="仿宋" w:cs="仿宋"/>
          <w:color w:val="auto"/>
          <w:sz w:val="30"/>
          <w:szCs w:val="30"/>
          <w:highlight w:val="none"/>
        </w:rPr>
      </w:pPr>
      <w:r>
        <w:rPr>
          <w:rFonts w:ascii="仿宋" w:hAnsi="仿宋" w:cs="仿宋"/>
          <w:color w:val="auto"/>
          <w:sz w:val="30"/>
          <w:szCs w:val="30"/>
          <w:highlight w:val="none"/>
        </w:rPr>
      </w:r>
      <w:r/>
    </w:p>
    <w:p>
      <w:pPr>
        <w:ind w:firstLine="600"/>
        <w:rPr>
          <w:rFonts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clear="all"/>
      </w:r>
      <w:r/>
    </w:p>
    <w:p>
      <w:pPr>
        <w:ind w:firstLine="56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10.投标人相关承诺</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项目名称：徐州市检验检测中心餐厅原材料配送</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p>
    <w:p>
      <w:pPr>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我单位承诺：</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cs="仿宋"/>
          <w:color w:val="auto"/>
          <w:spacing w:val="6"/>
          <w:sz w:val="24"/>
          <w:highlight w:val="none"/>
        </w:rPr>
      </w:pPr>
      <w:r>
        <w:rPr>
          <w:rFonts w:ascii="仿宋" w:hAnsi="仿宋" w:eastAsia="仿宋" w:cs="仿宋"/>
          <w:color w:val="auto"/>
          <w:spacing w:val="6"/>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我单位对上述承诺负责，并依法承担相应责任。</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ind w:firstLine="480"/>
        <w:spacing w:line="36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日期：   年  月  日</w:t>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jc w:val="center"/>
        <w:rPr>
          <w:rFonts w:ascii="仿宋" w:hAnsi="仿宋" w:eastAsia="仿宋" w:cs="仿宋"/>
          <w:color w:val="auto"/>
          <w:sz w:val="30"/>
          <w:szCs w:val="30"/>
          <w:highlight w:val="none"/>
        </w:rPr>
      </w:pPr>
      <w:r>
        <w:rPr>
          <w:rFonts w:ascii="仿宋" w:hAnsi="仿宋" w:eastAsia="仿宋" w:cs="仿宋"/>
          <w:color w:val="auto"/>
          <w:sz w:val="30"/>
          <w:szCs w:val="30"/>
          <w:highlight w:val="none"/>
        </w:rPr>
      </w:r>
      <w:r/>
    </w:p>
    <w:p>
      <w:pPr>
        <w:ind w:firstLine="700"/>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ind w:firstLine="560"/>
        <w:jc w:val="center"/>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rPr>
        <w:t xml:space="preserve">11.投标人书面声明</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项目名称：徐州市检验检测中心餐厅原材料配送</w:t>
      </w:r>
      <w:r/>
    </w:p>
    <w:p>
      <w:pPr>
        <w:ind w:firstLine="480"/>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 xml:space="preserve">项目编号：</w:t>
      </w:r>
      <w:r>
        <w:rPr>
          <w:rFonts w:hint="eastAsia" w:ascii="仿宋" w:hAnsi="仿宋" w:eastAsia="仿宋" w:cs="仿宋"/>
          <w:color w:val="auto"/>
          <w:sz w:val="24"/>
          <w:highlight w:val="none"/>
          <w:lang w:eastAsia="zh-CN"/>
        </w:rPr>
        <w:t xml:space="preserve">JSZC-320300-HCGS-G2025-0013</w:t>
      </w:r>
      <w:r/>
    </w:p>
    <w:p>
      <w:pPr>
        <w:ind w:firstLine="480"/>
        <w:jc w:val="left"/>
        <w:widowControl/>
        <w:rPr>
          <w:rFonts w:ascii="仿宋" w:hAnsi="仿宋" w:eastAsia="仿宋" w:cs="仿宋"/>
          <w:color w:val="auto"/>
          <w:sz w:val="24"/>
          <w:highlight w:val="none"/>
        </w:rPr>
      </w:pPr>
      <w:r>
        <w:rPr>
          <w:rFonts w:ascii="仿宋" w:hAnsi="仿宋" w:eastAsia="仿宋" w:cs="仿宋"/>
          <w:color w:val="auto"/>
          <w:sz w:val="24"/>
          <w:highlight w:val="none"/>
        </w:rPr>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我单位不是为本采购项目提供整体设计、规范编制或者项目管理、监理、检测等服务的供应商。</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特此声明。</w:t>
      </w:r>
      <w:r/>
    </w:p>
    <w:p>
      <w:pPr>
        <w:ind w:firstLine="504"/>
        <w:spacing w:line="588" w:lineRule="exact"/>
        <w:rPr>
          <w:rFonts w:ascii="仿宋" w:hAnsi="仿宋" w:eastAsia="仿宋" w:cs="仿宋"/>
          <w:color w:val="auto"/>
          <w:spacing w:val="6"/>
          <w:sz w:val="24"/>
          <w:highlight w:val="none"/>
        </w:rPr>
      </w:pPr>
      <w:r>
        <w:rPr>
          <w:rFonts w:hint="eastAsia" w:ascii="仿宋" w:hAnsi="仿宋" w:eastAsia="仿宋" w:cs="仿宋"/>
          <w:color w:val="auto"/>
          <w:spacing w:val="6"/>
          <w:sz w:val="24"/>
          <w:highlight w:val="none"/>
        </w:rPr>
        <w:t xml:space="preserve">我单位对上述声明的真实性负责。如有虚假，将依法承担相应责任。</w:t>
      </w:r>
      <w:r/>
    </w:p>
    <w:p>
      <w:pPr>
        <w:rPr>
          <w:rFonts w:ascii="仿宋" w:hAnsi="仿宋" w:eastAsia="仿宋" w:cs="仿宋"/>
          <w:color w:val="auto"/>
          <w:sz w:val="24"/>
          <w:highlight w:val="none"/>
        </w:rPr>
      </w:pPr>
      <w:r>
        <w:rPr>
          <w:rFonts w:ascii="仿宋" w:hAnsi="仿宋" w:eastAsia="仿宋" w:cs="仿宋"/>
          <w:color w:val="auto"/>
          <w:sz w:val="24"/>
          <w:highlight w:val="none"/>
        </w:rPr>
      </w:r>
      <w:r/>
    </w:p>
    <w:p>
      <w:pPr>
        <w:ind w:firstLine="3000"/>
        <w:spacing w:line="300" w:lineRule="auto"/>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pStyle w:val="847"/>
        <w:rPr>
          <w:rFonts w:ascii="仿宋" w:hAnsi="仿宋" w:eastAsia="仿宋" w:cs="仿宋"/>
          <w:color w:val="auto"/>
          <w:sz w:val="24"/>
          <w:highlight w:val="none"/>
        </w:rPr>
      </w:pPr>
      <w:r>
        <w:rPr>
          <w:rFonts w:ascii="仿宋" w:hAnsi="仿宋" w:eastAsia="仿宋" w:cs="仿宋"/>
          <w:color w:val="auto"/>
          <w:sz w:val="24"/>
          <w:highlight w:val="none"/>
        </w:rPr>
      </w:r>
      <w:r/>
    </w:p>
    <w:p>
      <w:pPr>
        <w:ind w:firstLine="480"/>
        <w:spacing w:line="300" w:lineRule="auto"/>
        <w:rPr>
          <w:rFonts w:ascii="仿宋" w:hAnsi="仿宋" w:eastAsia="仿宋" w:cs="仿宋"/>
          <w:color w:val="auto"/>
          <w:sz w:val="24"/>
          <w:highlight w:val="none"/>
        </w:rPr>
      </w:pPr>
      <w:r>
        <w:rPr>
          <w:rFonts w:hint="eastAsia" w:ascii="仿宋" w:hAnsi="仿宋" w:eastAsia="仿宋" w:cs="仿宋"/>
          <w:color w:val="auto"/>
          <w:sz w:val="24"/>
          <w:highlight w:val="none"/>
        </w:rPr>
        <w:t xml:space="preserve">投标人：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（电子签章） </w:t>
      </w:r>
      <w:r/>
    </w:p>
    <w:p>
      <w:pPr>
        <w:pStyle w:val="826"/>
        <w:ind w:firstLine="480"/>
        <w:rPr>
          <w:rFonts w:ascii="仿宋" w:hAnsi="仿宋" w:cs="仿宋"/>
          <w:color w:val="auto"/>
          <w:sz w:val="24"/>
          <w:szCs w:val="24"/>
          <w:highlight w:val="none"/>
        </w:rPr>
      </w:pPr>
      <w:r>
        <w:rPr>
          <w:rFonts w:hint="eastAsia" w:ascii="仿宋" w:hAnsi="仿宋" w:cs="仿宋"/>
          <w:color w:val="auto"/>
          <w:sz w:val="24"/>
          <w:szCs w:val="24"/>
          <w:highlight w:val="none"/>
        </w:rPr>
        <w:t xml:space="preserve">日期：   年  月  日</w:t>
      </w:r>
      <w:r/>
    </w:p>
    <w:p>
      <w:pPr>
        <w:pStyle w:val="826"/>
        <w:rPr>
          <w:rFonts w:ascii="仿宋" w:hAnsi="仿宋" w:cs="仿宋"/>
          <w:color w:val="auto"/>
          <w:sz w:val="24"/>
          <w:szCs w:val="24"/>
          <w:highlight w:val="none"/>
        </w:rPr>
      </w:pPr>
      <w:r>
        <w:rPr>
          <w:rFonts w:ascii="仿宋" w:hAnsi="仿宋" w:cs="仿宋"/>
          <w:color w:val="auto"/>
          <w:sz w:val="24"/>
          <w:szCs w:val="24"/>
          <w:highlight w:val="none"/>
        </w:rPr>
      </w:r>
      <w:r/>
    </w:p>
    <w:p>
      <w:pPr>
        <w:pStyle w:val="836"/>
        <w:rPr>
          <w:rFonts w:ascii="仿宋" w:hAnsi="仿宋" w:eastAsia="仿宋" w:cs="仿宋"/>
          <w:color w:val="auto"/>
          <w:highlight w:val="none"/>
        </w:rPr>
      </w:pPr>
      <w:r>
        <w:rPr>
          <w:rFonts w:ascii="仿宋" w:hAnsi="仿宋" w:eastAsia="仿宋" w:cs="仿宋"/>
          <w:color w:val="auto"/>
          <w:highlight w:val="none"/>
        </w:rPr>
      </w:r>
      <w:r/>
    </w:p>
    <w:p>
      <w:pPr>
        <w:rPr>
          <w:rFonts w:ascii="仿宋" w:hAnsi="仿宋" w:eastAsia="仿宋" w:cs="仿宋"/>
          <w:color w:val="auto"/>
          <w:highlight w:val="none"/>
        </w:rPr>
      </w:pPr>
      <w:r>
        <w:rPr>
          <w:rFonts w:ascii="仿宋" w:hAnsi="仿宋" w:eastAsia="仿宋" w:cs="仿宋"/>
          <w:color w:val="auto"/>
          <w:highlight w:val="none"/>
        </w:rPr>
      </w:r>
      <w:r/>
    </w:p>
    <w:p>
      <w:pPr>
        <w:pStyle w:val="823"/>
        <w:rPr>
          <w:rFonts w:ascii="仿宋" w:hAnsi="仿宋" w:eastAsia="仿宋" w:cs="仿宋"/>
          <w:color w:val="auto"/>
          <w:highlight w:val="none"/>
        </w:rPr>
      </w:pPr>
      <w:r>
        <w:rPr>
          <w:rFonts w:ascii="仿宋" w:hAnsi="仿宋" w:eastAsia="仿宋" w:cs="仿宋"/>
          <w:color w:val="auto"/>
          <w:highlight w:val="none"/>
        </w:rPr>
      </w:r>
      <w:r/>
    </w:p>
    <w:p>
      <w:pPr>
        <w:pStyle w:val="824"/>
        <w:rPr>
          <w:rFonts w:ascii="仿宋" w:hAnsi="仿宋" w:eastAsia="仿宋" w:cs="仿宋"/>
          <w:color w:val="auto"/>
          <w:highlight w:val="none"/>
        </w:rPr>
      </w:pPr>
      <w:r>
        <w:rPr>
          <w:rFonts w:ascii="仿宋" w:hAnsi="仿宋" w:eastAsia="仿宋" w:cs="仿宋"/>
          <w:color w:val="auto"/>
          <w:highlight w:val="none"/>
        </w:rPr>
      </w:r>
      <w:r/>
    </w:p>
    <w:p>
      <w:pPr>
        <w:pStyle w:val="823"/>
        <w:rPr>
          <w:rFonts w:ascii="仿宋" w:hAnsi="仿宋" w:eastAsia="仿宋" w:cs="仿宋"/>
          <w:color w:val="auto"/>
          <w:highlight w:val="none"/>
        </w:rPr>
      </w:pPr>
      <w:r>
        <w:rPr>
          <w:rFonts w:ascii="仿宋" w:hAnsi="仿宋" w:eastAsia="仿宋" w:cs="仿宋"/>
          <w:color w:val="auto"/>
          <w:highlight w:val="none"/>
        </w:rPr>
      </w:r>
      <w:r/>
    </w:p>
    <w:p>
      <w:pPr>
        <w:pStyle w:val="824"/>
        <w:rPr>
          <w:rFonts w:ascii="仿宋" w:hAnsi="仿宋" w:eastAsia="仿宋" w:cs="仿宋"/>
          <w:color w:val="auto"/>
          <w:highlight w:val="none"/>
        </w:rPr>
      </w:pPr>
      <w:r>
        <w:rPr>
          <w:rFonts w:ascii="仿宋" w:hAnsi="仿宋" w:eastAsia="仿宋" w:cs="仿宋"/>
          <w:color w:val="auto"/>
          <w:highlight w:val="none"/>
        </w:rPr>
      </w:r>
      <w:r/>
    </w:p>
    <w:p>
      <w:pPr>
        <w:pStyle w:val="823"/>
        <w:rPr>
          <w:rFonts w:ascii="仿宋" w:hAnsi="仿宋" w:eastAsia="仿宋" w:cs="仿宋"/>
          <w:color w:val="auto"/>
          <w:highlight w:val="none"/>
        </w:rPr>
      </w:pPr>
      <w:r>
        <w:rPr>
          <w:rFonts w:ascii="仿宋" w:hAnsi="仿宋" w:eastAsia="仿宋" w:cs="仿宋"/>
          <w:color w:val="auto"/>
          <w:highlight w:val="none"/>
        </w:rPr>
      </w:r>
      <w:r/>
    </w:p>
    <w:p>
      <w:pPr>
        <w:pStyle w:val="824"/>
        <w:rPr>
          <w:rFonts w:ascii="仿宋" w:hAnsi="仿宋" w:eastAsia="仿宋" w:cs="仿宋"/>
          <w:color w:val="auto"/>
          <w:highlight w:val="none"/>
        </w:rPr>
      </w:pPr>
      <w:r>
        <w:rPr>
          <w:rFonts w:ascii="仿宋" w:hAnsi="仿宋" w:eastAsia="仿宋" w:cs="仿宋"/>
          <w:color w:val="auto"/>
          <w:highlight w:val="none"/>
        </w:rPr>
      </w:r>
      <w:r/>
    </w:p>
    <w:p>
      <w:pPr>
        <w:pStyle w:val="1009"/>
        <w:ind w:firstLine="480"/>
        <w:jc w:val="center"/>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1009"/>
        <w:ind w:firstLine="480"/>
        <w:jc w:val="center"/>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1009"/>
        <w:ind w:firstLine="480"/>
        <w:jc w:val="center"/>
        <w:spacing w:line="400" w:lineRule="exact"/>
        <w:rPr>
          <w:rFonts w:ascii="仿宋" w:hAnsi="仿宋" w:eastAsia="仿宋" w:cs="仿宋"/>
          <w:b/>
          <w:bCs/>
          <w:color w:val="auto"/>
          <w:sz w:val="24"/>
          <w:highlight w:val="none"/>
        </w:rPr>
      </w:pPr>
      <w:r>
        <w:rPr>
          <w:rFonts w:ascii="仿宋" w:hAnsi="仿宋" w:eastAsia="仿宋" w:cs="仿宋"/>
          <w:b/>
          <w:bCs/>
          <w:color w:val="auto"/>
          <w:sz w:val="24"/>
          <w:highlight w:val="none"/>
        </w:rPr>
      </w:r>
      <w:r/>
    </w:p>
    <w:p>
      <w:pPr>
        <w:pStyle w:val="1009"/>
        <w:ind w:firstLine="480"/>
        <w:jc w:val="center"/>
        <w:spacing w:line="400" w:lineRule="exact"/>
        <w:rPr>
          <w:rFonts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12.预付款保函支付条款模板</w:t>
      </w:r>
      <w:r/>
    </w:p>
    <w:p>
      <w:pPr>
        <w:pStyle w:val="1009"/>
        <w:ind w:firstLine="484"/>
        <w:spacing w:line="40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09"/>
        <w:ind w:firstLine="484"/>
        <w:spacing w:line="400" w:lineRule="exact"/>
        <w:rPr>
          <w:rFonts w:ascii="仿宋" w:hAnsi="仿宋" w:eastAsia="仿宋" w:cs="仿宋"/>
          <w:b/>
          <w:color w:val="auto"/>
          <w:sz w:val="24"/>
          <w:highlight w:val="none"/>
        </w:rPr>
      </w:pPr>
      <w:r>
        <w:rPr>
          <w:rFonts w:ascii="仿宋" w:hAnsi="仿宋" w:eastAsia="仿宋" w:cs="仿宋"/>
          <w:b/>
          <w:color w:val="auto"/>
          <w:sz w:val="24"/>
          <w:highlight w:val="none"/>
        </w:rPr>
      </w:r>
      <w:r/>
    </w:p>
    <w:p>
      <w:pPr>
        <w:pStyle w:val="1009"/>
        <w:ind w:firstLine="484"/>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符合条件一：提交预付款保函的</w:t>
      </w:r>
      <w:r/>
    </w:p>
    <w:p>
      <w:pPr>
        <w:pStyle w:val="1009"/>
        <w:ind w:firstLine="482"/>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（1）合同签订且乙方向甲方出具预付款保函后个工作日内，甲方应支付合同价款的百分之</w:t>
      </w:r>
      <w:r>
        <w:rPr>
          <w:rFonts w:hint="eastAsia" w:ascii="仿宋" w:hAnsi="仿宋" w:eastAsia="仿宋" w:cs="仿宋"/>
          <w:color w:val="auto"/>
          <w:sz w:val="24"/>
          <w:highlight w:val="none"/>
          <w:u w:val="single"/>
        </w:rPr>
        <w:t xml:space="preserve">        XX（    XX%），</w:t>
      </w:r>
      <w:r>
        <w:rPr>
          <w:rFonts w:hint="eastAsia" w:ascii="仿宋" w:hAnsi="仿宋" w:eastAsia="仿宋" w:cs="仿宋"/>
          <w:color w:val="auto"/>
          <w:sz w:val="24"/>
          <w:highlight w:val="none"/>
        </w:rPr>
        <w:t xml:space="preserve">小写￥大写：人民币。</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乙方需提交的支付文件：乙方出具的全额正式发票。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（2）验收合格后个工作日内，甲方应支付合同价款的百分之</w:t>
      </w:r>
      <w:r>
        <w:rPr>
          <w:rFonts w:hint="eastAsia" w:ascii="仿宋" w:hAnsi="仿宋" w:eastAsia="仿宋" w:cs="仿宋"/>
          <w:color w:val="auto"/>
          <w:sz w:val="24"/>
          <w:highlight w:val="none"/>
          <w:u w:val="single"/>
        </w:rPr>
        <w:t xml:space="preserve">XX（    XX%），</w:t>
      </w:r>
      <w:r>
        <w:rPr>
          <w:rFonts w:hint="eastAsia" w:ascii="仿宋" w:hAnsi="仿宋" w:eastAsia="仿宋" w:cs="仿宋"/>
          <w:color w:val="auto"/>
          <w:sz w:val="24"/>
          <w:highlight w:val="none"/>
        </w:rPr>
        <w:t xml:space="preserve">小写￥大写：人民币。</w:t>
      </w:r>
      <w:r/>
    </w:p>
    <w:p>
      <w:pPr>
        <w:pStyle w:val="1009"/>
        <w:ind w:firstLine="484"/>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w:t>
      </w:r>
      <w:r/>
    </w:p>
    <w:p>
      <w:pPr>
        <w:pStyle w:val="1009"/>
        <w:ind w:firstLine="484"/>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符合条件二：不提交预付款保函的</w:t>
      </w:r>
      <w:r/>
    </w:p>
    <w:p>
      <w:pPr>
        <w:pStyle w:val="1009"/>
        <w:ind w:firstLine="482"/>
        <w:spacing w:line="400" w:lineRule="exact"/>
        <w:rPr>
          <w:rFonts w:ascii="仿宋" w:hAnsi="仿宋" w:eastAsia="仿宋" w:cs="仿宋"/>
          <w:color w:val="auto"/>
          <w:sz w:val="24"/>
          <w:highlight w:val="none"/>
          <w:u w:val="single"/>
        </w:rPr>
      </w:pPr>
      <w:r>
        <w:rPr>
          <w:rFonts w:hint="eastAsia" w:ascii="仿宋" w:hAnsi="仿宋" w:eastAsia="仿宋" w:cs="仿宋"/>
          <w:color w:val="auto"/>
          <w:sz w:val="24"/>
          <w:highlight w:val="none"/>
        </w:rPr>
        <w:t xml:space="preserve">（1）合同签订后个工作日内，甲方应支付合同价款的百分之</w:t>
      </w:r>
      <w:r>
        <w:rPr>
          <w:rFonts w:hint="eastAsia" w:ascii="仿宋" w:hAnsi="仿宋" w:eastAsia="仿宋" w:cs="仿宋"/>
          <w:color w:val="auto"/>
          <w:sz w:val="24"/>
          <w:highlight w:val="none"/>
          <w:u w:val="single"/>
        </w:rPr>
        <w:t xml:space="preserve">XX（    XX%），</w:t>
      </w:r>
      <w:r>
        <w:rPr>
          <w:rFonts w:hint="eastAsia" w:ascii="仿宋" w:hAnsi="仿宋" w:eastAsia="仿宋" w:cs="仿宋"/>
          <w:color w:val="auto"/>
          <w:sz w:val="24"/>
          <w:highlight w:val="none"/>
        </w:rPr>
        <w:t xml:space="preserve">小写￥大写：人民币。</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乙方需提交的支付文件：乙方出具的全额正式发票。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（2）验收合格后个工作日内，甲方应支付合同价款的百分之</w:t>
      </w:r>
      <w:r>
        <w:rPr>
          <w:rFonts w:hint="eastAsia" w:ascii="仿宋" w:hAnsi="仿宋" w:eastAsia="仿宋" w:cs="仿宋"/>
          <w:color w:val="auto"/>
          <w:sz w:val="24"/>
          <w:highlight w:val="none"/>
          <w:u w:val="single"/>
        </w:rPr>
        <w:t xml:space="preserve">XX（    XX%），</w:t>
      </w:r>
      <w:r>
        <w:rPr>
          <w:rFonts w:hint="eastAsia" w:ascii="仿宋" w:hAnsi="仿宋" w:eastAsia="仿宋" w:cs="仿宋"/>
          <w:color w:val="auto"/>
          <w:sz w:val="24"/>
          <w:highlight w:val="none"/>
        </w:rPr>
        <w:t xml:space="preserve">小写￥大写：人民币。</w:t>
      </w:r>
      <w:r/>
    </w:p>
    <w:p>
      <w:pPr>
        <w:pStyle w:val="1009"/>
        <w:ind w:firstLine="484"/>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w:t>
      </w:r>
      <w:r/>
    </w:p>
    <w:p>
      <w:pPr>
        <w:pStyle w:val="1009"/>
        <w:ind w:firstLine="484"/>
        <w:spacing w:line="400" w:lineRule="exact"/>
        <w:rPr>
          <w:rFonts w:ascii="仿宋" w:hAnsi="仿宋" w:eastAsia="仿宋" w:cs="仿宋"/>
          <w:b/>
          <w:color w:val="auto"/>
          <w:sz w:val="24"/>
          <w:highlight w:val="none"/>
        </w:rPr>
      </w:pPr>
      <w:r>
        <w:rPr>
          <w:rFonts w:hint="eastAsia" w:ascii="仿宋" w:hAnsi="仿宋" w:eastAsia="仿宋" w:cs="仿宋"/>
          <w:b/>
          <w:color w:val="auto"/>
          <w:sz w:val="24"/>
          <w:highlight w:val="none"/>
        </w:rPr>
        <w:t xml:space="preserve">注:</w:t>
      </w:r>
      <w:r/>
    </w:p>
    <w:p>
      <w:pPr>
        <w:pStyle w:val="1009"/>
        <w:ind w:firstLine="482"/>
        <w:spacing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1、付款条件一中，出具预付款保函后支付的合同款应当与保函金额一致。</w:t>
      </w:r>
      <w:r/>
    </w:p>
    <w:p>
      <w:pPr>
        <w:pStyle w:val="1020"/>
        <w:ind w:left="0" w:firstLine="480"/>
        <w:spacing w:after="0" w:line="40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2、付款条件二中，预付款比例设定应符合《关于做好政府采购支持企业发展有关事项的通知》(苏财购〔2020〕52号)要求。</w:t>
      </w:r>
      <w:r/>
    </w:p>
    <w:p>
      <w:pPr>
        <w:pStyle w:val="1020"/>
        <w:ind w:left="0" w:firstLine="480"/>
        <w:spacing w:after="0" w:line="400" w:lineRule="exact"/>
        <w:rPr>
          <w:rFonts w:ascii="仿宋" w:hAnsi="仿宋" w:eastAsia="仿宋" w:cs="仿宋"/>
          <w:color w:val="auto"/>
          <w:sz w:val="24"/>
          <w:highlight w:val="none"/>
        </w:rPr>
      </w:pPr>
      <w:r>
        <w:rPr>
          <w:rFonts w:ascii="仿宋" w:hAnsi="仿宋" w:eastAsia="仿宋" w:cs="仿宋"/>
          <w:color w:val="auto"/>
          <w:sz w:val="24"/>
          <w:highlight w:val="none"/>
        </w:rPr>
      </w:r>
      <w:r/>
    </w:p>
    <w:p>
      <w:pPr>
        <w:pStyle w:val="823"/>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楷体_GB2312">
    <w:panose1 w:val="02010609060101010101"/>
  </w:font>
  <w:font w:name="仿宋_GB2312">
    <w:panose1 w:val="02010609060101010101"/>
  </w:font>
  <w:font w:name="Tahoma">
    <w:panose1 w:val="020B0604030504040204"/>
  </w:font>
  <w:font w:name="Cambria">
    <w:panose1 w:val="02040503050406030204"/>
  </w:font>
  <w:font w:name="Courier New">
    <w:panose1 w:val="02070309020205020404"/>
  </w:font>
  <w:font w:name="仿宋">
    <w:panose1 w:val="02010609060101010101"/>
  </w:font>
  <w:font w:name="Calibri">
    <w:panose1 w:val="020F0502020204030204"/>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right"/>
      <w:rPr>
        <w:rFonts w:ascii="隶书" w:eastAsia="隶书"/>
        <w:b/>
        <w:i/>
      </w:rPr>
    </w:pPr>
    <w:r>
      <w:rPr>
        <w:rFonts w:ascii="隶书" w:eastAsia="隶书"/>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09"/>
                          </w:pPr>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14"/>
                      <w:tabs>
                        <w:tab w:val="clear" w:pos="4153" w:leader="none"/>
                        <w:tab w:val="clear" w:pos="8306" w:leader="none"/>
                      </w:tabs>
                    </w:pPr>
                    <w:r>
                      <w:fldChar w:fldCharType="begin"/>
                    </w:r>
                    <w:r>
                      <w:instrText xml:space="preserve"> PAGE  \* MERGEFORMAT </w:instrText>
                    </w:r>
                    <w:r>
                      <w:fldChar w:fldCharType="separate"/>
                    </w:r>
                    <w:r>
                      <w:t xml:space="preserve">19</w:t>
                    </w:r>
                    <w:r>
                      <w:fldChar w:fldCharType="end"/>
                    </w:r>
                    <w:r/>
                  </w:p>
                  <w:p>
                    <w:pPr>
                      <w:pStyle w:val="1009"/>
                    </w:pPr>
                    <w:r/>
                    <w:r/>
                  </w:p>
                </w:txbxContent>
              </v:textbox>
            </v:shape>
          </w:pict>
        </mc:Fallback>
      </mc:AlternateContent>
    </w:r>
    <w:r>
      <w:rPr>
        <w:rFonts w:hint="eastAsia" w:ascii="隶书" w:eastAsia="隶书"/>
        <w:b/>
        <w:i/>
      </w:rPr>
      <w:t xml:space="preserve">华春建设工程项目管理有限责任公司</w:t>
    </w:r>
    <w:r>
      <w:rPr>
        <w:rFonts w:ascii="隶书" w:eastAsia="隶书"/>
        <w:b/>
        <w:i/>
      </w:rPr>
      <w:t xml:space="preserve">编制</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2569845</wp:posOffset>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14"/>
                            <w:tabs>
                              <w:tab w:val="clear" w:pos="4153" w:leader="none"/>
                              <w:tab w:val="clear" w:pos="8306" w:leader="none"/>
                            </w:tabs>
                          </w:pPr>
                          <w:r/>
                          <w:r/>
                        </w:p>
                        <w:p>
                          <w:pPr>
                            <w:pStyle w:val="1009"/>
                          </w:pPr>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argin-left:202.3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4"/>
                      <w:tabs>
                        <w:tab w:val="clear" w:pos="4153" w:leader="none"/>
                        <w:tab w:val="clear" w:pos="8306" w:leader="none"/>
                      </w:tabs>
                    </w:pPr>
                    <w:r/>
                    <w:r/>
                  </w:p>
                  <w:p>
                    <w:pPr>
                      <w:pStyle w:val="10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right"/>
      <w:rPr>
        <w:i/>
        <w:iCs/>
      </w:rPr>
      <w:pBdr>
        <w:bottom w:val="none" w:color="000000" w:sz="0" w:space="1"/>
      </w:pBdr>
    </w:pPr>
    <w:r>
      <w:rPr>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第%1章"/>
      <w:lvlJc w:val="left"/>
      <w:pPr>
        <w:ind w:left="1080" w:hanging="1080"/>
        <w:tabs>
          <w:tab w:val="left" w:pos="108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20"/>
      <w:isLgl w:val="false"/>
      <w:suff w:val="tab"/>
      <w:lvlText w:val="(%1)."/>
      <w:lvlJc w:val="left"/>
      <w:pPr>
        <w:ind w:left="1218" w:hanging="420"/>
      </w:pPr>
      <w:rPr>
        <w:rFonts w:hint="eastAsia"/>
      </w:rPr>
    </w:lvl>
    <w:lvl w:ilvl="1">
      <w:start w:val="1"/>
      <w:numFmt w:val="lowerLetter"/>
      <w:isLgl w:val="false"/>
      <w:suff w:val="tab"/>
      <w:lvlText w:val="%2)"/>
      <w:lvlJc w:val="left"/>
      <w:pPr>
        <w:ind w:left="1638" w:hanging="420"/>
      </w:pPr>
    </w:lvl>
    <w:lvl w:ilvl="2">
      <w:start w:val="1"/>
      <w:numFmt w:val="lowerRoman"/>
      <w:isLgl w:val="false"/>
      <w:suff w:val="tab"/>
      <w:lvlText w:val="%3."/>
      <w:lvlJc w:val="right"/>
      <w:pPr>
        <w:ind w:left="2058" w:hanging="420"/>
      </w:pPr>
    </w:lvl>
    <w:lvl w:ilvl="3">
      <w:start w:val="1"/>
      <w:numFmt w:val="decimal"/>
      <w:isLgl w:val="false"/>
      <w:suff w:val="tab"/>
      <w:lvlText w:val="%4."/>
      <w:lvlJc w:val="left"/>
      <w:pPr>
        <w:ind w:left="2478" w:hanging="420"/>
      </w:pPr>
    </w:lvl>
    <w:lvl w:ilvl="4">
      <w:start w:val="1"/>
      <w:numFmt w:val="lowerLetter"/>
      <w:isLgl w:val="false"/>
      <w:suff w:val="tab"/>
      <w:lvlText w:val="%5)"/>
      <w:lvlJc w:val="left"/>
      <w:pPr>
        <w:ind w:left="2898" w:hanging="420"/>
      </w:pPr>
    </w:lvl>
    <w:lvl w:ilvl="5">
      <w:start w:val="1"/>
      <w:numFmt w:val="lowerRoman"/>
      <w:isLgl w:val="false"/>
      <w:suff w:val="tab"/>
      <w:lvlText w:val="%6."/>
      <w:lvlJc w:val="right"/>
      <w:pPr>
        <w:ind w:left="3318" w:hanging="420"/>
      </w:pPr>
    </w:lvl>
    <w:lvl w:ilvl="6">
      <w:start w:val="1"/>
      <w:numFmt w:val="decimal"/>
      <w:isLgl w:val="false"/>
      <w:suff w:val="tab"/>
      <w:lvlText w:val="%7."/>
      <w:lvlJc w:val="left"/>
      <w:pPr>
        <w:ind w:left="3738" w:hanging="420"/>
      </w:pPr>
    </w:lvl>
    <w:lvl w:ilvl="7">
      <w:start w:val="1"/>
      <w:numFmt w:val="lowerLetter"/>
      <w:isLgl w:val="false"/>
      <w:suff w:val="tab"/>
      <w:lvlText w:val="%8)"/>
      <w:lvlJc w:val="left"/>
      <w:pPr>
        <w:ind w:left="4158" w:hanging="420"/>
      </w:pPr>
    </w:lvl>
    <w:lvl w:ilvl="8">
      <w:start w:val="1"/>
      <w:numFmt w:val="lowerRoman"/>
      <w:isLgl w:val="false"/>
      <w:suff w:val="tab"/>
      <w:lvlText w:val="%9."/>
      <w:lvlJc w:val="right"/>
      <w:pPr>
        <w:ind w:left="4578" w:hanging="420"/>
      </w:pPr>
    </w:lvl>
  </w:abstractNum>
  <w:abstractNum w:abstractNumId="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2">
    <w:name w:val="Heading 3 Char"/>
    <w:basedOn w:val="815"/>
    <w:link w:val="808"/>
    <w:uiPriority w:val="9"/>
    <w:rPr>
      <w:rFonts w:ascii="Arial" w:hAnsi="Arial" w:eastAsia="Arial" w:cs="Arial"/>
      <w:sz w:val="30"/>
      <w:szCs w:val="30"/>
    </w:rPr>
  </w:style>
  <w:style w:type="character" w:styleId="793">
    <w:name w:val="Heading 4 Char"/>
    <w:basedOn w:val="815"/>
    <w:link w:val="809"/>
    <w:uiPriority w:val="9"/>
    <w:rPr>
      <w:rFonts w:ascii="Arial" w:hAnsi="Arial" w:eastAsia="Arial" w:cs="Arial"/>
      <w:b/>
      <w:bCs/>
      <w:sz w:val="26"/>
      <w:szCs w:val="26"/>
    </w:rPr>
  </w:style>
  <w:style w:type="character" w:styleId="794">
    <w:name w:val="Heading 5 Char"/>
    <w:basedOn w:val="815"/>
    <w:link w:val="810"/>
    <w:uiPriority w:val="9"/>
    <w:rPr>
      <w:rFonts w:ascii="Arial" w:hAnsi="Arial" w:eastAsia="Arial" w:cs="Arial"/>
      <w:b/>
      <w:bCs/>
      <w:sz w:val="24"/>
      <w:szCs w:val="24"/>
    </w:rPr>
  </w:style>
  <w:style w:type="character" w:styleId="795">
    <w:name w:val="Heading 6 Char"/>
    <w:basedOn w:val="815"/>
    <w:link w:val="811"/>
    <w:uiPriority w:val="9"/>
    <w:rPr>
      <w:rFonts w:ascii="Arial" w:hAnsi="Arial" w:eastAsia="Arial" w:cs="Arial"/>
      <w:b/>
      <w:bCs/>
      <w:sz w:val="22"/>
      <w:szCs w:val="22"/>
    </w:rPr>
  </w:style>
  <w:style w:type="character" w:styleId="796">
    <w:name w:val="Heading 7 Char"/>
    <w:basedOn w:val="815"/>
    <w:link w:val="812"/>
    <w:uiPriority w:val="9"/>
    <w:rPr>
      <w:rFonts w:ascii="Arial" w:hAnsi="Arial" w:eastAsia="Arial" w:cs="Arial"/>
      <w:b/>
      <w:bCs/>
      <w:i/>
      <w:iCs/>
      <w:sz w:val="22"/>
      <w:szCs w:val="22"/>
    </w:rPr>
  </w:style>
  <w:style w:type="character" w:styleId="797">
    <w:name w:val="Heading 8 Char"/>
    <w:basedOn w:val="815"/>
    <w:link w:val="813"/>
    <w:uiPriority w:val="9"/>
    <w:rPr>
      <w:rFonts w:ascii="Arial" w:hAnsi="Arial" w:eastAsia="Arial" w:cs="Arial"/>
      <w:i/>
      <w:iCs/>
      <w:sz w:val="22"/>
      <w:szCs w:val="22"/>
    </w:rPr>
  </w:style>
  <w:style w:type="character" w:styleId="798">
    <w:name w:val="Heading 9 Char"/>
    <w:basedOn w:val="815"/>
    <w:link w:val="814"/>
    <w:uiPriority w:val="9"/>
    <w:rPr>
      <w:rFonts w:ascii="Arial" w:hAnsi="Arial" w:eastAsia="Arial" w:cs="Arial"/>
      <w:i/>
      <w:iCs/>
      <w:sz w:val="21"/>
      <w:szCs w:val="21"/>
    </w:rPr>
  </w:style>
  <w:style w:type="character" w:styleId="799">
    <w:name w:val="Subtitle Char"/>
    <w:basedOn w:val="815"/>
    <w:link w:val="838"/>
    <w:uiPriority w:val="11"/>
    <w:rPr>
      <w:sz w:val="24"/>
      <w:szCs w:val="24"/>
    </w:rPr>
  </w:style>
  <w:style w:type="character" w:styleId="800">
    <w:name w:val="Quote Char"/>
    <w:link w:val="867"/>
    <w:uiPriority w:val="29"/>
    <w:rPr>
      <w:i/>
    </w:rPr>
  </w:style>
  <w:style w:type="character" w:styleId="801">
    <w:name w:val="Intense Quote Char"/>
    <w:link w:val="869"/>
    <w:uiPriority w:val="30"/>
    <w:rPr>
      <w:i/>
    </w:rPr>
  </w:style>
  <w:style w:type="character" w:styleId="802">
    <w:name w:val="Header Char"/>
    <w:basedOn w:val="815"/>
    <w:link w:val="835"/>
    <w:uiPriority w:val="99"/>
  </w:style>
  <w:style w:type="character" w:styleId="803">
    <w:name w:val="Endnote Text Char"/>
    <w:link w:val="832"/>
    <w:uiPriority w:val="99"/>
    <w:rPr>
      <w:sz w:val="20"/>
    </w:rPr>
  </w:style>
  <w:style w:type="paragraph" w:styleId="804">
    <w:name w:val="TOC Heading"/>
    <w:uiPriority w:val="39"/>
    <w:unhideWhenUsed/>
  </w:style>
  <w:style w:type="paragraph" w:styleId="80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6">
    <w:name w:val="Heading 1"/>
    <w:basedOn w:val="805"/>
    <w:next w:val="805"/>
    <w:uiPriority w:val="9"/>
    <w:qFormat/>
    <w:pPr>
      <w:jc w:val="left"/>
      <w:spacing w:before="100" w:beforeAutospacing="1" w:after="100" w:afterAutospacing="1"/>
      <w:outlineLvl w:val="0"/>
    </w:pPr>
    <w:rPr>
      <w:rFonts w:hint="eastAsia" w:ascii="宋体" w:hAnsi="宋体"/>
      <w:b/>
      <w:bCs/>
      <w:sz w:val="48"/>
      <w:szCs w:val="48"/>
    </w:rPr>
  </w:style>
  <w:style w:type="paragraph" w:styleId="807">
    <w:name w:val="Heading 2"/>
    <w:basedOn w:val="805"/>
    <w:next w:val="805"/>
    <w:uiPriority w:val="0"/>
    <w:unhideWhenUsed/>
    <w:qFormat/>
    <w:pPr>
      <w:keepLines/>
      <w:keepNext/>
      <w:spacing w:before="360" w:after="200"/>
      <w:outlineLvl w:val="1"/>
    </w:pPr>
    <w:rPr>
      <w:rFonts w:ascii="Arial" w:hAnsi="Arial" w:eastAsia="Arial" w:cs="Arial"/>
      <w:sz w:val="34"/>
    </w:rPr>
  </w:style>
  <w:style w:type="paragraph" w:styleId="808">
    <w:name w:val="Heading 3"/>
    <w:basedOn w:val="805"/>
    <w:next w:val="805"/>
    <w:link w:val="857"/>
    <w:uiPriority w:val="9"/>
    <w:unhideWhenUsed/>
    <w:qFormat/>
    <w:pPr>
      <w:keepLines/>
      <w:keepNext/>
      <w:spacing w:before="320" w:after="200"/>
      <w:outlineLvl w:val="2"/>
    </w:pPr>
    <w:rPr>
      <w:rFonts w:ascii="Arial" w:hAnsi="Arial" w:eastAsia="Arial" w:cs="Arial"/>
      <w:sz w:val="30"/>
      <w:szCs w:val="30"/>
    </w:rPr>
  </w:style>
  <w:style w:type="paragraph" w:styleId="809">
    <w:name w:val="Heading 4"/>
    <w:basedOn w:val="805"/>
    <w:next w:val="805"/>
    <w:link w:val="858"/>
    <w:uiPriority w:val="9"/>
    <w:unhideWhenUsed/>
    <w:qFormat/>
    <w:pPr>
      <w:keepLines/>
      <w:keepNext/>
      <w:spacing w:before="320" w:after="200"/>
      <w:outlineLvl w:val="3"/>
    </w:pPr>
    <w:rPr>
      <w:rFonts w:ascii="Arial" w:hAnsi="Arial" w:eastAsia="Arial" w:cs="Arial"/>
      <w:b/>
      <w:bCs/>
      <w:sz w:val="26"/>
      <w:szCs w:val="26"/>
    </w:rPr>
  </w:style>
  <w:style w:type="paragraph" w:styleId="810">
    <w:name w:val="Heading 5"/>
    <w:basedOn w:val="805"/>
    <w:next w:val="805"/>
    <w:link w:val="859"/>
    <w:uiPriority w:val="9"/>
    <w:unhideWhenUsed/>
    <w:qFormat/>
    <w:pPr>
      <w:keepLines/>
      <w:keepNext/>
      <w:spacing w:before="320" w:after="200"/>
      <w:outlineLvl w:val="4"/>
    </w:pPr>
    <w:rPr>
      <w:rFonts w:ascii="Arial" w:hAnsi="Arial" w:eastAsia="Arial" w:cs="Arial"/>
      <w:b/>
      <w:bCs/>
      <w:sz w:val="24"/>
    </w:rPr>
  </w:style>
  <w:style w:type="paragraph" w:styleId="811">
    <w:name w:val="Heading 6"/>
    <w:basedOn w:val="805"/>
    <w:next w:val="805"/>
    <w:link w:val="860"/>
    <w:uiPriority w:val="9"/>
    <w:unhideWhenUsed/>
    <w:qFormat/>
    <w:pPr>
      <w:keepLines/>
      <w:keepNext/>
      <w:spacing w:before="320" w:after="200"/>
      <w:outlineLvl w:val="5"/>
    </w:pPr>
    <w:rPr>
      <w:rFonts w:ascii="Arial" w:hAnsi="Arial" w:eastAsia="Arial" w:cs="Arial"/>
      <w:b/>
      <w:bCs/>
      <w:sz w:val="22"/>
      <w:szCs w:val="22"/>
    </w:rPr>
  </w:style>
  <w:style w:type="paragraph" w:styleId="812">
    <w:name w:val="Heading 7"/>
    <w:basedOn w:val="805"/>
    <w:next w:val="805"/>
    <w:link w:val="861"/>
    <w:uiPriority w:val="9"/>
    <w:unhideWhenUsed/>
    <w:qFormat/>
    <w:pPr>
      <w:keepLines/>
      <w:keepNext/>
      <w:spacing w:before="320" w:after="200"/>
      <w:outlineLvl w:val="6"/>
    </w:pPr>
    <w:rPr>
      <w:rFonts w:ascii="Arial" w:hAnsi="Arial" w:eastAsia="Arial" w:cs="Arial"/>
      <w:b/>
      <w:bCs/>
      <w:i/>
      <w:iCs/>
      <w:sz w:val="22"/>
      <w:szCs w:val="22"/>
    </w:rPr>
  </w:style>
  <w:style w:type="paragraph" w:styleId="813">
    <w:name w:val="Heading 8"/>
    <w:basedOn w:val="805"/>
    <w:next w:val="805"/>
    <w:link w:val="862"/>
    <w:uiPriority w:val="9"/>
    <w:unhideWhenUsed/>
    <w:qFormat/>
    <w:pPr>
      <w:keepLines/>
      <w:keepNext/>
      <w:spacing w:before="320" w:after="200"/>
      <w:outlineLvl w:val="7"/>
    </w:pPr>
    <w:rPr>
      <w:rFonts w:ascii="Arial" w:hAnsi="Arial" w:eastAsia="Arial" w:cs="Arial"/>
      <w:i/>
      <w:iCs/>
      <w:sz w:val="22"/>
      <w:szCs w:val="22"/>
    </w:rPr>
  </w:style>
  <w:style w:type="paragraph" w:styleId="814">
    <w:name w:val="Heading 9"/>
    <w:basedOn w:val="805"/>
    <w:next w:val="805"/>
    <w:link w:val="863"/>
    <w:uiPriority w:val="9"/>
    <w:unhideWhenUsed/>
    <w:qFormat/>
    <w:pPr>
      <w:keepLines/>
      <w:keepNext/>
      <w:spacing w:before="320" w:after="200"/>
      <w:outlineLvl w:val="8"/>
    </w:pPr>
    <w:rPr>
      <w:rFonts w:ascii="Arial" w:hAnsi="Arial" w:eastAsia="Arial" w:cs="Arial"/>
      <w:i/>
      <w:iCs/>
      <w:szCs w:val="21"/>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toc 7"/>
    <w:basedOn w:val="805"/>
    <w:next w:val="805"/>
    <w:uiPriority w:val="39"/>
    <w:unhideWhenUsed/>
    <w:qFormat/>
    <w:pPr>
      <w:ind w:left="1701"/>
      <w:spacing w:after="57"/>
    </w:pPr>
  </w:style>
  <w:style w:type="paragraph" w:styleId="818">
    <w:name w:val="Normal Indent"/>
    <w:basedOn w:val="805"/>
    <w:uiPriority w:val="0"/>
    <w:qFormat/>
    <w:pPr>
      <w:ind w:firstLine="420"/>
    </w:pPr>
  </w:style>
  <w:style w:type="paragraph" w:styleId="819">
    <w:name w:val="Caption"/>
    <w:basedOn w:val="805"/>
    <w:next w:val="80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0">
    <w:name w:val="index 5"/>
    <w:basedOn w:val="805"/>
    <w:next w:val="805"/>
    <w:uiPriority w:val="99"/>
    <w:unhideWhenUsed/>
    <w:qFormat/>
    <w:pPr>
      <w:numPr>
        <w:ilvl w:val="0"/>
        <w:numId w:val="1"/>
      </w:numPr>
    </w:pPr>
  </w:style>
  <w:style w:type="paragraph" w:styleId="821">
    <w:name w:val="Document Map"/>
    <w:basedOn w:val="805"/>
    <w:uiPriority w:val="0"/>
    <w:qFormat/>
    <w:rPr>
      <w:rFonts w:ascii="宋体" w:hAnsi="Calibri"/>
      <w:sz w:val="18"/>
      <w:szCs w:val="18"/>
    </w:rPr>
  </w:style>
  <w:style w:type="paragraph" w:styleId="822">
    <w:name w:val="annotation text"/>
    <w:basedOn w:val="805"/>
    <w:uiPriority w:val="0"/>
    <w:qFormat/>
    <w:pPr>
      <w:jc w:val="left"/>
    </w:pPr>
  </w:style>
  <w:style w:type="paragraph" w:styleId="823">
    <w:name w:val="Body Text"/>
    <w:basedOn w:val="805"/>
    <w:next w:val="824"/>
    <w:uiPriority w:val="0"/>
    <w:qFormat/>
    <w:pPr>
      <w:spacing w:after="120"/>
    </w:pPr>
  </w:style>
  <w:style w:type="paragraph" w:styleId="824">
    <w:name w:val="Body Text 2"/>
    <w:basedOn w:val="805"/>
    <w:next w:val="823"/>
    <w:uiPriority w:val="0"/>
    <w:qFormat/>
    <w:pPr>
      <w:ind w:right="340"/>
      <w:spacing w:line="240" w:lineRule="atLeast"/>
      <w:tabs>
        <w:tab w:val="left" w:pos="705" w:leader="none"/>
        <w:tab w:val="left" w:pos="8280" w:leader="none"/>
      </w:tabs>
    </w:pPr>
    <w:rPr>
      <w:rFonts w:ascii="宋体"/>
      <w:sz w:val="28"/>
    </w:rPr>
  </w:style>
  <w:style w:type="paragraph" w:styleId="825">
    <w:name w:val="Body Text Indent"/>
    <w:basedOn w:val="805"/>
    <w:uiPriority w:val="0"/>
    <w:qFormat/>
    <w:pPr>
      <w:ind w:left="420"/>
      <w:spacing w:after="120"/>
    </w:pPr>
  </w:style>
  <w:style w:type="paragraph" w:styleId="826">
    <w:name w:val="Block Text"/>
    <w:basedOn w:val="805"/>
    <w:uiPriority w:val="6"/>
    <w:qFormat/>
    <w:pPr>
      <w:ind w:left="256" w:right="6" w:firstLine="624"/>
    </w:pPr>
    <w:rPr>
      <w:rFonts w:eastAsia="仿宋"/>
      <w:sz w:val="28"/>
      <w:szCs w:val="20"/>
    </w:rPr>
  </w:style>
  <w:style w:type="paragraph" w:styleId="827">
    <w:name w:val="index 4"/>
    <w:basedOn w:val="805"/>
    <w:next w:val="805"/>
    <w:uiPriority w:val="99"/>
    <w:qFormat/>
    <w:pPr>
      <w:ind w:left="600"/>
    </w:pPr>
  </w:style>
  <w:style w:type="paragraph" w:styleId="828">
    <w:name w:val="toc 5"/>
    <w:basedOn w:val="805"/>
    <w:next w:val="805"/>
    <w:uiPriority w:val="39"/>
    <w:unhideWhenUsed/>
    <w:qFormat/>
    <w:pPr>
      <w:ind w:left="1134"/>
      <w:spacing w:after="57"/>
    </w:pPr>
  </w:style>
  <w:style w:type="paragraph" w:styleId="829">
    <w:name w:val="toc 3"/>
    <w:basedOn w:val="805"/>
    <w:next w:val="805"/>
    <w:uiPriority w:val="39"/>
    <w:unhideWhenUsed/>
    <w:qFormat/>
    <w:pPr>
      <w:ind w:left="567"/>
      <w:spacing w:after="57"/>
    </w:pPr>
  </w:style>
  <w:style w:type="paragraph" w:styleId="830">
    <w:name w:val="Plain Text"/>
    <w:basedOn w:val="805"/>
    <w:uiPriority w:val="99"/>
    <w:qFormat/>
    <w:rPr>
      <w:rFonts w:ascii="宋体" w:hAnsi="Courier New" w:cstheme="minorBidi"/>
      <w:szCs w:val="22"/>
    </w:rPr>
  </w:style>
  <w:style w:type="paragraph" w:styleId="831">
    <w:name w:val="toc 8"/>
    <w:basedOn w:val="805"/>
    <w:next w:val="805"/>
    <w:uiPriority w:val="39"/>
    <w:unhideWhenUsed/>
    <w:qFormat/>
    <w:pPr>
      <w:ind w:left="1984"/>
      <w:spacing w:after="57"/>
    </w:pPr>
  </w:style>
  <w:style w:type="paragraph" w:styleId="832">
    <w:name w:val="endnote text"/>
    <w:basedOn w:val="805"/>
    <w:link w:val="1000"/>
    <w:uiPriority w:val="99"/>
    <w:semiHidden/>
    <w:unhideWhenUsed/>
    <w:qFormat/>
    <w:rPr>
      <w:sz w:val="20"/>
    </w:rPr>
  </w:style>
  <w:style w:type="paragraph" w:styleId="833">
    <w:name w:val="Balloon Text"/>
    <w:basedOn w:val="805"/>
    <w:link w:val="1024"/>
    <w:uiPriority w:val="0"/>
    <w:qFormat/>
    <w:rPr>
      <w:sz w:val="18"/>
      <w:szCs w:val="18"/>
    </w:rPr>
  </w:style>
  <w:style w:type="paragraph" w:styleId="834">
    <w:name w:val="Footer"/>
    <w:basedOn w:val="805"/>
    <w:uiPriority w:val="0"/>
    <w:unhideWhenUsed/>
    <w:qFormat/>
    <w:pPr>
      <w:tabs>
        <w:tab w:val="center" w:pos="7143" w:leader="none"/>
        <w:tab w:val="right" w:pos="14287" w:leader="none"/>
      </w:tabs>
    </w:pPr>
  </w:style>
  <w:style w:type="paragraph" w:styleId="835">
    <w:name w:val="Header"/>
    <w:basedOn w:val="805"/>
    <w:link w:val="871"/>
    <w:uiPriority w:val="99"/>
    <w:unhideWhenUsed/>
    <w:qFormat/>
    <w:pPr>
      <w:tabs>
        <w:tab w:val="center" w:pos="7143" w:leader="none"/>
        <w:tab w:val="right" w:pos="14287" w:leader="none"/>
      </w:tabs>
    </w:pPr>
  </w:style>
  <w:style w:type="paragraph" w:styleId="836">
    <w:name w:val="toc 1"/>
    <w:basedOn w:val="805"/>
    <w:next w:val="805"/>
    <w:uiPriority w:val="39"/>
    <w:unhideWhenUsed/>
    <w:qFormat/>
    <w:pPr>
      <w:jc w:val="left"/>
      <w:spacing w:after="100" w:line="259" w:lineRule="auto"/>
      <w:widowControl/>
    </w:pPr>
    <w:rPr>
      <w:rFonts w:ascii="Calibri" w:hAnsi="Calibri"/>
      <w:sz w:val="22"/>
      <w:szCs w:val="22"/>
    </w:rPr>
  </w:style>
  <w:style w:type="paragraph" w:styleId="837">
    <w:name w:val="toc 4"/>
    <w:basedOn w:val="805"/>
    <w:next w:val="805"/>
    <w:uiPriority w:val="39"/>
    <w:unhideWhenUsed/>
    <w:qFormat/>
    <w:pPr>
      <w:ind w:left="850"/>
      <w:spacing w:after="57"/>
    </w:pPr>
  </w:style>
  <w:style w:type="paragraph" w:styleId="838">
    <w:name w:val="Subtitle"/>
    <w:basedOn w:val="805"/>
    <w:next w:val="805"/>
    <w:link w:val="866"/>
    <w:uiPriority w:val="11"/>
    <w:qFormat/>
    <w:pPr>
      <w:spacing w:before="200" w:after="200"/>
    </w:pPr>
    <w:rPr>
      <w:sz w:val="24"/>
    </w:rPr>
  </w:style>
  <w:style w:type="paragraph" w:styleId="839">
    <w:name w:val="footnote text"/>
    <w:basedOn w:val="805"/>
    <w:next w:val="820"/>
    <w:uiPriority w:val="0"/>
    <w:qFormat/>
    <w:pPr>
      <w:jc w:val="left"/>
    </w:pPr>
    <w:rPr>
      <w:rFonts w:ascii="宋体" w:eastAsia="Times New Roman"/>
      <w:sz w:val="18"/>
      <w:szCs w:val="18"/>
    </w:rPr>
  </w:style>
  <w:style w:type="paragraph" w:styleId="840">
    <w:name w:val="toc 6"/>
    <w:basedOn w:val="805"/>
    <w:next w:val="805"/>
    <w:uiPriority w:val="39"/>
    <w:unhideWhenUsed/>
    <w:qFormat/>
    <w:pPr>
      <w:ind w:left="1417"/>
      <w:spacing w:after="57"/>
    </w:pPr>
  </w:style>
  <w:style w:type="paragraph" w:styleId="841">
    <w:name w:val="table of figures"/>
    <w:basedOn w:val="805"/>
    <w:next w:val="805"/>
    <w:uiPriority w:val="99"/>
    <w:unhideWhenUsed/>
    <w:qFormat/>
  </w:style>
  <w:style w:type="paragraph" w:styleId="842">
    <w:name w:val="toc 2"/>
    <w:basedOn w:val="805"/>
    <w:next w:val="805"/>
    <w:uiPriority w:val="39"/>
    <w:unhideWhenUsed/>
    <w:qFormat/>
    <w:pPr>
      <w:ind w:left="283"/>
      <w:spacing w:after="57"/>
    </w:pPr>
  </w:style>
  <w:style w:type="paragraph" w:styleId="843">
    <w:name w:val="toc 9"/>
    <w:basedOn w:val="805"/>
    <w:next w:val="805"/>
    <w:uiPriority w:val="39"/>
    <w:unhideWhenUsed/>
    <w:qFormat/>
    <w:pPr>
      <w:ind w:left="2268"/>
      <w:spacing w:after="57"/>
    </w:pPr>
  </w:style>
  <w:style w:type="paragraph" w:styleId="844">
    <w:name w:val="Normal (Web)"/>
    <w:basedOn w:val="805"/>
    <w:uiPriority w:val="0"/>
    <w:qFormat/>
    <w:pPr>
      <w:jc w:val="left"/>
      <w:spacing w:before="100" w:beforeAutospacing="1" w:after="100" w:afterAutospacing="1"/>
      <w:widowControl/>
    </w:pPr>
    <w:rPr>
      <w:rFonts w:ascii="宋体" w:hAnsi="宋体" w:cs="宋体"/>
      <w:sz w:val="24"/>
    </w:rPr>
  </w:style>
  <w:style w:type="paragraph" w:styleId="845">
    <w:name w:val="Title"/>
    <w:basedOn w:val="805"/>
    <w:next w:val="805"/>
    <w:uiPriority w:val="10"/>
    <w:qFormat/>
    <w:pPr>
      <w:jc w:val="center"/>
      <w:spacing w:before="300" w:after="300"/>
      <w:outlineLvl w:val="0"/>
    </w:pPr>
    <w:rPr>
      <w:rFonts w:ascii="Cambria" w:hAnsi="Cambria"/>
      <w:b/>
      <w:bCs/>
      <w:sz w:val="36"/>
      <w:szCs w:val="32"/>
    </w:rPr>
  </w:style>
  <w:style w:type="paragraph" w:styleId="846">
    <w:name w:val="Body Text First Indent"/>
    <w:basedOn w:val="823"/>
    <w:uiPriority w:val="0"/>
    <w:qFormat/>
    <w:pPr>
      <w:ind w:firstLine="420"/>
    </w:pPr>
  </w:style>
  <w:style w:type="paragraph" w:styleId="847">
    <w:name w:val="Body Text First Indent 2"/>
    <w:basedOn w:val="825"/>
    <w:uiPriority w:val="0"/>
    <w:qFormat/>
    <w:pPr>
      <w:ind w:firstLine="420"/>
    </w:pPr>
  </w:style>
  <w:style w:type="table" w:styleId="848">
    <w:name w:val="Table Grid"/>
    <w:basedOn w:val="8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9">
    <w:name w:val="Strong"/>
    <w:basedOn w:val="815"/>
    <w:uiPriority w:val="0"/>
    <w:qFormat/>
    <w:rPr>
      <w:rFonts w:ascii="Tahoma" w:hAnsi="Tahoma"/>
      <w:b/>
      <w:bCs/>
      <w:sz w:val="24"/>
    </w:rPr>
  </w:style>
  <w:style w:type="character" w:styleId="850">
    <w:name w:val="endnote reference"/>
    <w:basedOn w:val="815"/>
    <w:uiPriority w:val="99"/>
    <w:semiHidden/>
    <w:unhideWhenUsed/>
    <w:qFormat/>
    <w:rPr>
      <w:vertAlign w:val="superscript"/>
    </w:rPr>
  </w:style>
  <w:style w:type="character" w:styleId="851">
    <w:name w:val="Hyperlink"/>
    <w:uiPriority w:val="99"/>
    <w:unhideWhenUsed/>
    <w:qFormat/>
    <w:rPr>
      <w:color w:val="0026e5" w:themeColor="hyperlink"/>
      <w:u w:val="single"/>
      <w14:textFill>
        <w14:solidFill>
          <w14:schemeClr w14:val="hlink"/>
        </w14:solidFill>
      </w14:textFill>
    </w:rPr>
  </w:style>
  <w:style w:type="character" w:styleId="852">
    <w:name w:val="annotation reference"/>
    <w:basedOn w:val="815"/>
    <w:uiPriority w:val="0"/>
    <w:qFormat/>
    <w:rPr>
      <w:sz w:val="21"/>
      <w:szCs w:val="21"/>
    </w:rPr>
  </w:style>
  <w:style w:type="character" w:styleId="853">
    <w:name w:val="footnote reference"/>
    <w:basedOn w:val="815"/>
    <w:uiPriority w:val="99"/>
    <w:unhideWhenUsed/>
    <w:qFormat/>
    <w:rPr>
      <w:vertAlign w:val="superscript"/>
    </w:rPr>
  </w:style>
  <w:style w:type="paragraph" w:styleId="854" w:customStyle="1">
    <w:name w:val="文本块11"/>
    <w:basedOn w:val="805"/>
    <w:uiPriority w:val="6"/>
    <w:unhideWhenUsed/>
    <w:qFormat/>
    <w:pPr>
      <w:ind w:left="1440" w:right="1440"/>
      <w:spacing w:after="120"/>
    </w:pPr>
  </w:style>
  <w:style w:type="character" w:styleId="855" w:customStyle="1">
    <w:name w:val="Heading 1 Char"/>
    <w:basedOn w:val="815"/>
    <w:uiPriority w:val="9"/>
    <w:qFormat/>
    <w:rPr>
      <w:rFonts w:ascii="Arial" w:hAnsi="Arial" w:eastAsia="Arial" w:cs="Arial"/>
      <w:sz w:val="40"/>
      <w:szCs w:val="40"/>
    </w:rPr>
  </w:style>
  <w:style w:type="character" w:styleId="856" w:customStyle="1">
    <w:name w:val="Heading 2 Char"/>
    <w:basedOn w:val="815"/>
    <w:uiPriority w:val="9"/>
    <w:qFormat/>
    <w:rPr>
      <w:rFonts w:ascii="Arial" w:hAnsi="Arial" w:eastAsia="Arial" w:cs="Arial"/>
      <w:sz w:val="34"/>
    </w:rPr>
  </w:style>
  <w:style w:type="character" w:styleId="857" w:customStyle="1">
    <w:name w:val="标题 3 Char"/>
    <w:basedOn w:val="815"/>
    <w:link w:val="808"/>
    <w:uiPriority w:val="9"/>
    <w:qFormat/>
    <w:rPr>
      <w:rFonts w:ascii="Arial" w:hAnsi="Arial" w:eastAsia="Arial" w:cs="Arial"/>
      <w:sz w:val="30"/>
      <w:szCs w:val="30"/>
    </w:rPr>
  </w:style>
  <w:style w:type="character" w:styleId="858" w:customStyle="1">
    <w:name w:val="标题 4 Char"/>
    <w:basedOn w:val="815"/>
    <w:link w:val="809"/>
    <w:uiPriority w:val="9"/>
    <w:qFormat/>
    <w:rPr>
      <w:rFonts w:ascii="Arial" w:hAnsi="Arial" w:eastAsia="Arial" w:cs="Arial"/>
      <w:b/>
      <w:bCs/>
      <w:sz w:val="26"/>
      <w:szCs w:val="26"/>
    </w:rPr>
  </w:style>
  <w:style w:type="character" w:styleId="859" w:customStyle="1">
    <w:name w:val="标题 5 Char"/>
    <w:basedOn w:val="815"/>
    <w:link w:val="810"/>
    <w:uiPriority w:val="9"/>
    <w:qFormat/>
    <w:rPr>
      <w:rFonts w:ascii="Arial" w:hAnsi="Arial" w:eastAsia="Arial" w:cs="Arial"/>
      <w:b/>
      <w:bCs/>
      <w:sz w:val="24"/>
      <w:szCs w:val="24"/>
    </w:rPr>
  </w:style>
  <w:style w:type="character" w:styleId="860" w:customStyle="1">
    <w:name w:val="标题 6 Char"/>
    <w:basedOn w:val="815"/>
    <w:link w:val="811"/>
    <w:uiPriority w:val="9"/>
    <w:qFormat/>
    <w:rPr>
      <w:rFonts w:ascii="Arial" w:hAnsi="Arial" w:eastAsia="Arial" w:cs="Arial"/>
      <w:b/>
      <w:bCs/>
      <w:sz w:val="22"/>
      <w:szCs w:val="22"/>
    </w:rPr>
  </w:style>
  <w:style w:type="character" w:styleId="861" w:customStyle="1">
    <w:name w:val="标题 7 Char"/>
    <w:basedOn w:val="815"/>
    <w:link w:val="812"/>
    <w:uiPriority w:val="9"/>
    <w:qFormat/>
    <w:rPr>
      <w:rFonts w:ascii="Arial" w:hAnsi="Arial" w:eastAsia="Arial" w:cs="Arial"/>
      <w:b/>
      <w:bCs/>
      <w:i/>
      <w:iCs/>
      <w:sz w:val="22"/>
      <w:szCs w:val="22"/>
    </w:rPr>
  </w:style>
  <w:style w:type="character" w:styleId="862" w:customStyle="1">
    <w:name w:val="标题 8 Char"/>
    <w:basedOn w:val="815"/>
    <w:link w:val="813"/>
    <w:uiPriority w:val="9"/>
    <w:qFormat/>
    <w:rPr>
      <w:rFonts w:ascii="Arial" w:hAnsi="Arial" w:eastAsia="Arial" w:cs="Arial"/>
      <w:i/>
      <w:iCs/>
      <w:sz w:val="22"/>
      <w:szCs w:val="22"/>
    </w:rPr>
  </w:style>
  <w:style w:type="character" w:styleId="863" w:customStyle="1">
    <w:name w:val="标题 9 Char"/>
    <w:basedOn w:val="815"/>
    <w:link w:val="814"/>
    <w:uiPriority w:val="9"/>
    <w:qFormat/>
    <w:rPr>
      <w:rFonts w:ascii="Arial" w:hAnsi="Arial" w:eastAsia="Arial" w:cs="Arial"/>
      <w:i/>
      <w:iCs/>
      <w:sz w:val="21"/>
      <w:szCs w:val="21"/>
    </w:rPr>
  </w:style>
  <w:style w:type="paragraph" w:styleId="864">
    <w:name w:val="No Spacing"/>
    <w:uiPriority w:val="1"/>
    <w:qFormat/>
    <w:rPr>
      <w:rFonts w:ascii="Times New Roman" w:hAnsi="Times New Roman" w:eastAsia="宋体" w:cs="Times New Roman"/>
      <w:lang w:val="en-US" w:eastAsia="zh-CN" w:bidi="ar-SA"/>
    </w:rPr>
  </w:style>
  <w:style w:type="character" w:styleId="865" w:customStyle="1">
    <w:name w:val="Title Char"/>
    <w:basedOn w:val="815"/>
    <w:uiPriority w:val="10"/>
    <w:qFormat/>
    <w:rPr>
      <w:sz w:val="48"/>
      <w:szCs w:val="48"/>
    </w:rPr>
  </w:style>
  <w:style w:type="character" w:styleId="866" w:customStyle="1">
    <w:name w:val="副标题 Char"/>
    <w:basedOn w:val="815"/>
    <w:link w:val="838"/>
    <w:uiPriority w:val="11"/>
    <w:qFormat/>
    <w:rPr>
      <w:sz w:val="24"/>
      <w:szCs w:val="24"/>
    </w:rPr>
  </w:style>
  <w:style w:type="paragraph" w:styleId="867">
    <w:name w:val="Quote"/>
    <w:basedOn w:val="805"/>
    <w:next w:val="805"/>
    <w:link w:val="868"/>
    <w:uiPriority w:val="29"/>
    <w:qFormat/>
    <w:pPr>
      <w:ind w:left="720" w:right="720"/>
    </w:pPr>
    <w:rPr>
      <w:i/>
    </w:rPr>
  </w:style>
  <w:style w:type="character" w:styleId="868" w:customStyle="1">
    <w:name w:val="引用 Char"/>
    <w:link w:val="867"/>
    <w:uiPriority w:val="29"/>
    <w:qFormat/>
    <w:rPr>
      <w:i/>
    </w:rPr>
  </w:style>
  <w:style w:type="paragraph" w:styleId="869">
    <w:name w:val="Intense Quote"/>
    <w:basedOn w:val="805"/>
    <w:next w:val="805"/>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Char"/>
    <w:link w:val="869"/>
    <w:uiPriority w:val="30"/>
    <w:qFormat/>
    <w:rPr>
      <w:i/>
    </w:rPr>
  </w:style>
  <w:style w:type="character" w:styleId="871" w:customStyle="1">
    <w:name w:val="页眉 Char"/>
    <w:basedOn w:val="815"/>
    <w:link w:val="835"/>
    <w:uiPriority w:val="99"/>
    <w:qFormat/>
  </w:style>
  <w:style w:type="character" w:styleId="872" w:customStyle="1">
    <w:name w:val="Footer Char"/>
    <w:basedOn w:val="815"/>
    <w:uiPriority w:val="99"/>
    <w:qFormat/>
  </w:style>
  <w:style w:type="character" w:styleId="873" w:customStyle="1">
    <w:name w:val="Caption Char"/>
    <w:uiPriority w:val="99"/>
    <w:qFormat/>
  </w:style>
  <w:style w:type="table" w:styleId="874" w:customStyle="1">
    <w:name w:val="Table Grid Light"/>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5" w:customStyle="1">
    <w:name w:val="Plain Table 1"/>
    <w:basedOn w:val="81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Plain Table 2"/>
    <w:basedOn w:val="81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Plain Table 3"/>
    <w:basedOn w:val="8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Plain Table 4"/>
    <w:basedOn w:val="8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Plain Table 5"/>
    <w:basedOn w:val="81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Grid Table 1 Light"/>
    <w:basedOn w:val="81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1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1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1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1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1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1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1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1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1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1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1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1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4" w:customStyle="1">
    <w:name w:val="Grid Table 3"/>
    <w:basedOn w:val="81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16"/>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16"/>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16"/>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16"/>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16"/>
    <w:uiPriority w:val="99"/>
    <w:qFormat/>
    <w:tblPr>
      <w:tblBorders>
        <w:bottom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16"/>
    <w:uiPriority w:val="99"/>
    <w:qFormat/>
    <w:tblPr>
      <w:tblBorders>
        <w:bottom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1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16"/>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3" w:customStyle="1">
    <w:name w:val="Grid Table 4 - Accent 2"/>
    <w:basedOn w:val="816"/>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4" w:customStyle="1">
    <w:name w:val="Grid Table 4 - Accent 3"/>
    <w:basedOn w:val="816"/>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5" w:customStyle="1">
    <w:name w:val="Grid Table 4 - Accent 4"/>
    <w:basedOn w:val="816"/>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6" w:customStyle="1">
    <w:name w:val="Grid Table 4 - Accent 5"/>
    <w:basedOn w:val="816"/>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7" w:customStyle="1">
    <w:name w:val="Grid Table 4 - Accent 6"/>
    <w:basedOn w:val="816"/>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8" w:customStyle="1">
    <w:name w:val="Grid Table 5 Dark"/>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0" w:customStyle="1">
    <w:name w:val="Grid Table 5 Dark - Accent 2"/>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1" w:customStyle="1">
    <w:name w:val="Grid Table 5 Dark - Accent 3"/>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2" w:customStyle="1">
    <w:name w:val="Grid Table 5 Dark- Accent 4"/>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3" w:customStyle="1">
    <w:name w:val="Grid Table 5 Dark - Accent 5"/>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4" w:customStyle="1">
    <w:name w:val="Grid Table 5 Dark - Accent 6"/>
    <w:basedOn w:val="81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5" w:customStyle="1">
    <w:name w:val="Grid Table 6 Colorful"/>
    <w:basedOn w:val="81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basedOn w:val="816"/>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81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816"/>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19" w:customStyle="1">
    <w:name w:val="Grid Table 6 Colorful - Accent 4"/>
    <w:basedOn w:val="81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816"/>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1" w:customStyle="1">
    <w:name w:val="Grid Table 6 Colorful - Accent 6"/>
    <w:basedOn w:val="816"/>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2" w:customStyle="1">
    <w:name w:val="Grid Table 7 Colorful"/>
    <w:basedOn w:val="81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816"/>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CellMar>
        <w:left w:w="108" w:type="dxa"/>
        <w:top w:w="0" w:type="dxa"/>
        <w:right w:w="108" w:type="dxa"/>
        <w:bottom w:w="0" w:type="dxa"/>
      </w:tblCellMar>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816"/>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816"/>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CellMar>
        <w:left w:w="108" w:type="dxa"/>
        <w:top w:w="0" w:type="dxa"/>
        <w:right w:w="108" w:type="dxa"/>
        <w:bottom w:w="0" w:type="dxa"/>
      </w:tblCellMar>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816"/>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816"/>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CellMar>
        <w:left w:w="108" w:type="dxa"/>
        <w:top w:w="0" w:type="dxa"/>
        <w:right w:w="108" w:type="dxa"/>
        <w:bottom w:w="0" w:type="dxa"/>
      </w:tblCellMar>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816"/>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CellMar>
        <w:left w:w="108" w:type="dxa"/>
        <w:top w:w="0" w:type="dxa"/>
        <w:right w:w="108" w:type="dxa"/>
        <w:bottom w:w="0" w:type="dxa"/>
      </w:tblCellMar>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9" w:customStyle="1">
    <w:name w:val="List Table 1 Light"/>
    <w:basedOn w:val="81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16"/>
    <w:uiPriority w:val="99"/>
    <w:qFormat/>
    <w:tblPr>
      <w:tblCellMar>
        <w:left w:w="108" w:type="dxa"/>
        <w:top w:w="0" w:type="dxa"/>
        <w:right w:w="108" w:type="dxa"/>
        <w:bottom w:w="0" w:type="dxa"/>
      </w:tblCellMa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16"/>
    <w:uiPriority w:val="99"/>
    <w:qFormat/>
    <w:tblPr>
      <w:tblCellMar>
        <w:left w:w="108" w:type="dxa"/>
        <w:top w:w="0" w:type="dxa"/>
        <w:right w:w="108" w:type="dxa"/>
        <w:bottom w:w="0" w:type="dxa"/>
      </w:tblCellMa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16"/>
    <w:uiPriority w:val="99"/>
    <w:qFormat/>
    <w:tblPr>
      <w:tblCellMar>
        <w:left w:w="108" w:type="dxa"/>
        <w:top w:w="0" w:type="dxa"/>
        <w:right w:w="108" w:type="dxa"/>
        <w:bottom w:w="0" w:type="dxa"/>
      </w:tblCellMa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16"/>
    <w:uiPriority w:val="99"/>
    <w:qFormat/>
    <w:tblPr>
      <w:tblCellMar>
        <w:left w:w="108" w:type="dxa"/>
        <w:top w:w="0" w:type="dxa"/>
        <w:right w:w="108" w:type="dxa"/>
        <w:bottom w:w="0" w:type="dxa"/>
      </w:tblCellMa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16"/>
    <w:uiPriority w:val="99"/>
    <w:qFormat/>
    <w:tblPr>
      <w:tblCellMar>
        <w:left w:w="108" w:type="dxa"/>
        <w:top w:w="0" w:type="dxa"/>
        <w:right w:w="108" w:type="dxa"/>
        <w:bottom w:w="0" w:type="dxa"/>
      </w:tblCellMa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16"/>
    <w:uiPriority w:val="99"/>
    <w:qFormat/>
    <w:tblPr>
      <w:tblCellMar>
        <w:left w:w="108" w:type="dxa"/>
        <w:top w:w="0" w:type="dxa"/>
        <w:right w:w="108" w:type="dxa"/>
        <w:bottom w:w="0" w:type="dxa"/>
      </w:tblCellMa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6" w:customStyle="1">
    <w:name w:val="List Table 2"/>
    <w:basedOn w:val="81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basedOn w:val="816"/>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8" w:customStyle="1">
    <w:name w:val="List Table 2 - Accent 2"/>
    <w:basedOn w:val="816"/>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9" w:customStyle="1">
    <w:name w:val="List Table 2 - Accent 3"/>
    <w:basedOn w:val="816"/>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0" w:customStyle="1">
    <w:name w:val="List Table 2 - Accent 4"/>
    <w:basedOn w:val="816"/>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1" w:customStyle="1">
    <w:name w:val="List Table 2 - Accent 5"/>
    <w:basedOn w:val="816"/>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2" w:customStyle="1">
    <w:name w:val="List Table 2 - Accent 6"/>
    <w:basedOn w:val="816"/>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3" w:customStyle="1">
    <w:name w:val="List Table 3"/>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16"/>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5" w:customStyle="1">
    <w:name w:val="List Table 3 - Accent 2"/>
    <w:basedOn w:val="816"/>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16"/>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16"/>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16"/>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16"/>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0" w:customStyle="1">
    <w:name w:val="List Table 4"/>
    <w:basedOn w:val="81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16"/>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2" w:customStyle="1">
    <w:name w:val="List Table 4 - Accent 2"/>
    <w:basedOn w:val="816"/>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3" w:customStyle="1">
    <w:name w:val="List Table 4 - Accent 3"/>
    <w:basedOn w:val="816"/>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4" w:customStyle="1">
    <w:name w:val="List Table 4 - Accent 4"/>
    <w:basedOn w:val="816"/>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5" w:customStyle="1">
    <w:name w:val="List Table 4 - Accent 5"/>
    <w:basedOn w:val="816"/>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6" w:customStyle="1">
    <w:name w:val="List Table 4 - Accent 6"/>
    <w:basedOn w:val="816"/>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7" w:customStyle="1">
    <w:name w:val="List Table 5 Dark"/>
    <w:basedOn w:val="81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basedOn w:val="816"/>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CellMar>
        <w:left w:w="108" w:type="dxa"/>
        <w:top w:w="0" w:type="dxa"/>
        <w:right w:w="108" w:type="dxa"/>
        <w:bottom w:w="0" w:type="dxa"/>
      </w:tblCellMar>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basedOn w:val="816"/>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CellMar>
        <w:left w:w="108" w:type="dxa"/>
        <w:top w:w="0" w:type="dxa"/>
        <w:right w:w="108" w:type="dxa"/>
        <w:bottom w:w="0" w:type="dxa"/>
      </w:tblCellMar>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basedOn w:val="816"/>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CellMar>
        <w:left w:w="108" w:type="dxa"/>
        <w:top w:w="0" w:type="dxa"/>
        <w:right w:w="108" w:type="dxa"/>
        <w:bottom w:w="0" w:type="dxa"/>
      </w:tblCellMar>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basedOn w:val="816"/>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CellMar>
        <w:left w:w="108" w:type="dxa"/>
        <w:top w:w="0" w:type="dxa"/>
        <w:right w:w="108" w:type="dxa"/>
        <w:bottom w:w="0" w:type="dxa"/>
      </w:tblCellMar>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basedOn w:val="816"/>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CellMar>
        <w:left w:w="108" w:type="dxa"/>
        <w:top w:w="0" w:type="dxa"/>
        <w:right w:w="108" w:type="dxa"/>
        <w:bottom w:w="0" w:type="dxa"/>
      </w:tblCellMar>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basedOn w:val="816"/>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CellMar>
        <w:left w:w="108" w:type="dxa"/>
        <w:top w:w="0" w:type="dxa"/>
        <w:right w:w="108" w:type="dxa"/>
        <w:bottom w:w="0" w:type="dxa"/>
      </w:tblCellMar>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6 Colorful"/>
    <w:basedOn w:val="81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basedOn w:val="816"/>
    <w:uiPriority w:val="99"/>
    <w:qFormat/>
    <w:tblPr>
      <w:tblBorders>
        <w:top w:val="single" w:color="4874CB" w:themeColor="accent1" w:sz="4" w:space="0"/>
        <w:bottom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6" w:customStyle="1">
    <w:name w:val="List Table 6 Colorful - Accent 2"/>
    <w:basedOn w:val="816"/>
    <w:uiPriority w:val="99"/>
    <w:qFormat/>
    <w:tblPr>
      <w:tblBorders>
        <w:top w:val="single" w:color="F4B483" w:themeColor="accent2" w:themeTint="97" w:sz="4" w:space="0"/>
        <w:bottom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7" w:customStyle="1">
    <w:name w:val="List Table 6 Colorful - Accent 3"/>
    <w:basedOn w:val="816"/>
    <w:uiPriority w:val="99"/>
    <w:qFormat/>
    <w:tblPr>
      <w:tblBorders>
        <w:top w:val="single" w:color="FDD961" w:themeColor="accent3" w:themeTint="98" w:sz="4" w:space="0"/>
        <w:bottom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8" w:customStyle="1">
    <w:name w:val="List Table 6 Colorful - Accent 4"/>
    <w:basedOn w:val="816"/>
    <w:uiPriority w:val="99"/>
    <w:qFormat/>
    <w:tblPr>
      <w:tblBorders>
        <w:top w:val="single" w:color="ABD78C" w:themeColor="accent4" w:themeTint="9A" w:sz="4" w:space="0"/>
        <w:bottom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9" w:customStyle="1">
    <w:name w:val="List Table 6 Colorful - Accent 5"/>
    <w:basedOn w:val="816"/>
    <w:uiPriority w:val="99"/>
    <w:qFormat/>
    <w:tblPr>
      <w:tblBorders>
        <w:top w:val="single" w:color="7CDED6" w:themeColor="accent5" w:themeTint="9A" w:sz="4" w:space="0"/>
        <w:bottom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0" w:customStyle="1">
    <w:name w:val="List Table 6 Colorful - Accent 6"/>
    <w:basedOn w:val="816"/>
    <w:uiPriority w:val="99"/>
    <w:qFormat/>
    <w:tblPr>
      <w:tblBorders>
        <w:top w:val="single" w:color="EF949F" w:themeColor="accent6" w:themeTint="98" w:sz="4" w:space="0"/>
        <w:bottom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1" w:customStyle="1">
    <w:name w:val="List Table 7 Colorful"/>
    <w:basedOn w:val="81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816"/>
    <w:uiPriority w:val="99"/>
    <w:qFormat/>
    <w:tblPr>
      <w:tblBorders>
        <w:right w:val="single" w:color="4874CB" w:themeColor="accent1" w:sz="4" w:space="0"/>
      </w:tblBorders>
      <w:tblCellMar>
        <w:left w:w="108" w:type="dxa"/>
        <w:top w:w="0" w:type="dxa"/>
        <w:right w:w="108" w:type="dxa"/>
        <w:bottom w:w="0" w:type="dxa"/>
      </w:tblCellMar>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816"/>
    <w:uiPriority w:val="99"/>
    <w:qFormat/>
    <w:tblPr>
      <w:tblBorders>
        <w:right w:val="single" w:color="F4B483" w:themeColor="accent2" w:themeTint="97" w:sz="4" w:space="0"/>
      </w:tblBorders>
      <w:tblCellMar>
        <w:left w:w="108" w:type="dxa"/>
        <w:top w:w="0" w:type="dxa"/>
        <w:right w:w="108" w:type="dxa"/>
        <w:bottom w:w="0" w:type="dxa"/>
      </w:tblCellMar>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816"/>
    <w:uiPriority w:val="99"/>
    <w:qFormat/>
    <w:tblPr>
      <w:tblBorders>
        <w:right w:val="single" w:color="FDD961" w:themeColor="accent3" w:themeTint="98" w:sz="4" w:space="0"/>
      </w:tblBorders>
      <w:tblCellMar>
        <w:left w:w="108" w:type="dxa"/>
        <w:top w:w="0" w:type="dxa"/>
        <w:right w:w="108" w:type="dxa"/>
        <w:bottom w:w="0" w:type="dxa"/>
      </w:tblCellMar>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816"/>
    <w:uiPriority w:val="99"/>
    <w:qFormat/>
    <w:tblPr>
      <w:tblBorders>
        <w:right w:val="single" w:color="ABD78C" w:themeColor="accent4" w:themeTint="9A" w:sz="4" w:space="0"/>
      </w:tblBorders>
      <w:tblCellMar>
        <w:left w:w="108" w:type="dxa"/>
        <w:top w:w="0" w:type="dxa"/>
        <w:right w:w="108" w:type="dxa"/>
        <w:bottom w:w="0" w:type="dxa"/>
      </w:tblCellMar>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816"/>
    <w:uiPriority w:val="99"/>
    <w:qFormat/>
    <w:tblPr>
      <w:tblBorders>
        <w:right w:val="single" w:color="7CDED6" w:themeColor="accent5" w:themeTint="9A" w:sz="4" w:space="0"/>
      </w:tblBorders>
      <w:tblCellMar>
        <w:left w:w="108" w:type="dxa"/>
        <w:top w:w="0" w:type="dxa"/>
        <w:right w:w="108" w:type="dxa"/>
        <w:bottom w:w="0" w:type="dxa"/>
      </w:tblCellMar>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816"/>
    <w:uiPriority w:val="99"/>
    <w:qFormat/>
    <w:tblPr>
      <w:tblBorders>
        <w:right w:val="single" w:color="EF949F" w:themeColor="accent6" w:themeTint="98" w:sz="4" w:space="0"/>
      </w:tblBorders>
      <w:tblCellMar>
        <w:left w:w="108" w:type="dxa"/>
        <w:top w:w="0" w:type="dxa"/>
        <w:right w:w="108" w:type="dxa"/>
        <w:bottom w:w="0" w:type="dxa"/>
      </w:tblCellMar>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0" w:customStyle="1">
    <w:name w:val="Lined - Accent 2"/>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1" w:customStyle="1">
    <w:name w:val="Lined - Accent 3"/>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2" w:customStyle="1">
    <w:name w:val="Lined - Accent 4"/>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3" w:customStyle="1">
    <w:name w:val="Lined - Accent 5"/>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4" w:customStyle="1">
    <w:name w:val="Lined - Accent 6"/>
    <w:basedOn w:val="81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5" w:customStyle="1">
    <w:name w:val="Bordered &amp; Lined - Accent"/>
    <w:basedOn w:val="81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basedOn w:val="816"/>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7" w:customStyle="1">
    <w:name w:val="Bordered &amp; Lined - Accent 2"/>
    <w:basedOn w:val="816"/>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8" w:customStyle="1">
    <w:name w:val="Bordered &amp; Lined - Accent 3"/>
    <w:basedOn w:val="816"/>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9" w:customStyle="1">
    <w:name w:val="Bordered &amp; Lined - Accent 4"/>
    <w:basedOn w:val="816"/>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0" w:customStyle="1">
    <w:name w:val="Bordered &amp; Lined - Accent 5"/>
    <w:basedOn w:val="816"/>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1" w:customStyle="1">
    <w:name w:val="Bordered &amp; Lined - Accent 6"/>
    <w:basedOn w:val="816"/>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2" w:customStyle="1">
    <w:name w:val="Bordered"/>
    <w:basedOn w:val="81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basedOn w:val="816"/>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4" w:customStyle="1">
    <w:name w:val="Bordered - Accent 2"/>
    <w:basedOn w:val="816"/>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5" w:customStyle="1">
    <w:name w:val="Bordered - Accent 3"/>
    <w:basedOn w:val="816"/>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6" w:customStyle="1">
    <w:name w:val="Bordered - Accent 4"/>
    <w:basedOn w:val="816"/>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7" w:customStyle="1">
    <w:name w:val="Bordered - Accent 5"/>
    <w:basedOn w:val="816"/>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8" w:customStyle="1">
    <w:name w:val="Bordered - Accent 6"/>
    <w:basedOn w:val="816"/>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9" w:customStyle="1">
    <w:name w:val="Footnote Text Char"/>
    <w:uiPriority w:val="99"/>
    <w:qFormat/>
    <w:rPr>
      <w:sz w:val="18"/>
    </w:rPr>
  </w:style>
  <w:style w:type="character" w:styleId="1000" w:customStyle="1">
    <w:name w:val="尾注文本 Char"/>
    <w:link w:val="832"/>
    <w:uiPriority w:val="99"/>
    <w:qFormat/>
    <w:rPr>
      <w:sz w:val="20"/>
    </w:rPr>
  </w:style>
  <w:style w:type="paragraph" w:styleId="1001" w:customStyle="1">
    <w:name w:val="TOC 标题1"/>
    <w:uiPriority w:val="39"/>
    <w:unhideWhenUsed/>
    <w:qFormat/>
    <w:rPr>
      <w:rFonts w:ascii="Times New Roman" w:hAnsi="Times New Roman" w:eastAsia="宋体" w:cs="Times New Roman"/>
      <w:lang w:val="en-US" w:eastAsia="zh-CN" w:bidi="ar-SA"/>
    </w:rPr>
  </w:style>
  <w:style w:type="paragraph" w:styleId="1002" w:customStyle="1">
    <w:name w:val="目录 11"/>
    <w:basedOn w:val="1003"/>
    <w:next w:val="1009"/>
    <w:uiPriority w:val="0"/>
    <w:qFormat/>
    <w:pPr>
      <w:jc w:val="left"/>
      <w:spacing w:after="100" w:line="259" w:lineRule="auto"/>
      <w:widowControl/>
    </w:pPr>
    <w:rPr>
      <w:rFonts w:ascii="Calibri" w:hAnsi="Calibri"/>
      <w:sz w:val="22"/>
      <w:szCs w:val="22"/>
    </w:rPr>
  </w:style>
  <w:style w:type="paragraph" w:styleId="1003" w:customStyle="1">
    <w:name w:val="正文12"/>
    <w:next w:val="1004"/>
    <w:uiPriority w:val="0"/>
    <w:qFormat/>
    <w:pPr>
      <w:jc w:val="both"/>
      <w:widowControl w:val="off"/>
    </w:pPr>
    <w:rPr>
      <w:rFonts w:ascii="Times New Roman" w:hAnsi="Times New Roman" w:eastAsia="宋体" w:cs="Times New Roman"/>
      <w:sz w:val="21"/>
      <w:szCs w:val="24"/>
      <w:lang w:val="en-US" w:eastAsia="zh-CN" w:bidi="ar-SA"/>
    </w:rPr>
  </w:style>
  <w:style w:type="paragraph" w:styleId="1004" w:customStyle="1">
    <w:name w:val="脚注文本1"/>
    <w:basedOn w:val="1005"/>
    <w:next w:val="1008"/>
    <w:uiPriority w:val="0"/>
    <w:qFormat/>
    <w:pPr>
      <w:jc w:val="left"/>
    </w:pPr>
    <w:rPr>
      <w:rFonts w:ascii="宋体" w:eastAsia="Times New Roman"/>
      <w:sz w:val="18"/>
      <w:szCs w:val="18"/>
    </w:rPr>
  </w:style>
  <w:style w:type="paragraph" w:styleId="1005" w:customStyle="1">
    <w:name w:val="正文1"/>
    <w:basedOn w:val="1006"/>
    <w:next w:val="1004"/>
    <w:uiPriority w:val="0"/>
    <w:qFormat/>
    <w:pPr>
      <w:ind w:firstLine="200"/>
      <w:spacing w:line="500" w:lineRule="exact"/>
    </w:pPr>
    <w:rPr>
      <w:rFonts w:eastAsia="仿宋"/>
      <w:sz w:val="24"/>
    </w:rPr>
  </w:style>
  <w:style w:type="paragraph" w:styleId="1006" w:customStyle="1">
    <w:name w:val="正文111"/>
    <w:next w:val="1007"/>
    <w:uiPriority w:val="0"/>
    <w:qFormat/>
    <w:pPr>
      <w:jc w:val="both"/>
      <w:widowControl w:val="off"/>
    </w:pPr>
    <w:rPr>
      <w:rFonts w:ascii="Times New Roman" w:hAnsi="Times New Roman" w:eastAsia="宋体" w:cs="Times New Roman"/>
      <w:sz w:val="21"/>
      <w:szCs w:val="24"/>
      <w:lang w:val="en-US" w:eastAsia="zh-CN" w:bidi="ar-SA"/>
    </w:rPr>
  </w:style>
  <w:style w:type="paragraph" w:styleId="1007" w:customStyle="1">
    <w:name w:val="目录 111"/>
    <w:basedOn w:val="1006"/>
    <w:next w:val="1006"/>
    <w:uiPriority w:val="0"/>
    <w:qFormat/>
    <w:pPr>
      <w:jc w:val="left"/>
      <w:spacing w:after="100" w:line="259" w:lineRule="auto"/>
      <w:widowControl/>
    </w:pPr>
    <w:rPr>
      <w:rFonts w:ascii="Calibri" w:hAnsi="Calibri"/>
      <w:sz w:val="22"/>
      <w:szCs w:val="22"/>
    </w:rPr>
  </w:style>
  <w:style w:type="paragraph" w:styleId="1008" w:customStyle="1">
    <w:name w:val="索引 51"/>
    <w:basedOn w:val="1009"/>
    <w:next w:val="1005"/>
    <w:uiPriority w:val="0"/>
    <w:qFormat/>
    <w:pPr>
      <w:ind w:left="798"/>
      <w:jc w:val="left"/>
    </w:pPr>
    <w:rPr>
      <w:rFonts w:ascii="Calibri" w:hAnsi="Calibri"/>
    </w:rPr>
  </w:style>
  <w:style w:type="paragraph" w:styleId="1009" w:customStyle="1">
    <w:name w:val="正文11"/>
    <w:next w:val="1002"/>
    <w:uiPriority w:val="0"/>
    <w:qFormat/>
    <w:pPr>
      <w:jc w:val="both"/>
      <w:widowControl w:val="off"/>
    </w:pPr>
    <w:rPr>
      <w:rFonts w:ascii="Times New Roman" w:hAnsi="Times New Roman" w:eastAsia="宋体" w:cs="Times New Roman"/>
      <w:sz w:val="21"/>
      <w:szCs w:val="24"/>
      <w:lang w:val="en-US" w:eastAsia="zh-CN" w:bidi="ar-SA"/>
    </w:rPr>
  </w:style>
  <w:style w:type="paragraph" w:styleId="1010" w:customStyle="1">
    <w:name w:val="正文文本 21"/>
    <w:basedOn w:val="1009"/>
    <w:uiPriority w:val="0"/>
    <w:qFormat/>
    <w:pPr>
      <w:spacing w:after="120" w:line="480" w:lineRule="auto"/>
    </w:pPr>
  </w:style>
  <w:style w:type="paragraph" w:styleId="1011" w:customStyle="1">
    <w:name w:val="正文文本1"/>
    <w:basedOn w:val="1009"/>
    <w:next w:val="1005"/>
    <w:uiPriority w:val="0"/>
    <w:qFormat/>
    <w:pPr>
      <w:spacing w:after="120"/>
    </w:pPr>
  </w:style>
  <w:style w:type="paragraph" w:styleId="1012" w:customStyle="1">
    <w:name w:val="正文缩进1"/>
    <w:basedOn w:val="1009"/>
    <w:uiPriority w:val="0"/>
    <w:qFormat/>
    <w:pPr>
      <w:ind w:firstLine="420"/>
    </w:pPr>
  </w:style>
  <w:style w:type="paragraph" w:styleId="1013" w:customStyle="1">
    <w:name w:val="页眉1"/>
    <w:basedOn w:val="1009"/>
    <w:uiPriority w:val="0"/>
    <w:qFormat/>
    <w:pPr>
      <w:jc w:val="center"/>
      <w:tabs>
        <w:tab w:val="center" w:pos="4153" w:leader="none"/>
        <w:tab w:val="right" w:pos="8306" w:leader="none"/>
      </w:tabs>
      <w:pBdr>
        <w:bottom w:val="single" w:color="000000" w:sz="6" w:space="1"/>
      </w:pBdr>
    </w:pPr>
    <w:rPr>
      <w:sz w:val="18"/>
      <w:szCs w:val="18"/>
    </w:rPr>
  </w:style>
  <w:style w:type="paragraph" w:styleId="1014" w:customStyle="1">
    <w:name w:val="页脚1"/>
    <w:basedOn w:val="1009"/>
    <w:uiPriority w:val="0"/>
    <w:qFormat/>
    <w:pPr>
      <w:jc w:val="left"/>
      <w:tabs>
        <w:tab w:val="center" w:pos="4153" w:leader="none"/>
        <w:tab w:val="right" w:pos="8306" w:leader="none"/>
      </w:tabs>
    </w:pPr>
    <w:rPr>
      <w:sz w:val="18"/>
      <w:szCs w:val="18"/>
    </w:rPr>
  </w:style>
  <w:style w:type="paragraph" w:styleId="1015" w:customStyle="1">
    <w:name w:val="日期1"/>
    <w:basedOn w:val="1009"/>
    <w:next w:val="1009"/>
    <w:uiPriority w:val="0"/>
    <w:qFormat/>
    <w:rPr>
      <w:rFonts w:eastAsia="仿宋_GB2312"/>
      <w:sz w:val="28"/>
      <w:szCs w:val="20"/>
    </w:rPr>
  </w:style>
  <w:style w:type="paragraph" w:styleId="1016" w:customStyle="1">
    <w:name w:val="Plain Text1"/>
    <w:basedOn w:val="1009"/>
    <w:uiPriority w:val="0"/>
    <w:qFormat/>
    <w:pPr>
      <w:jc w:val="left"/>
    </w:pPr>
    <w:rPr>
      <w:rFonts w:ascii="宋体" w:hAnsi="宋体" w:eastAsia="楷体_GB2312"/>
      <w:sz w:val="26"/>
      <w:szCs w:val="20"/>
    </w:rPr>
  </w:style>
  <w:style w:type="paragraph" w:styleId="1017" w:customStyle="1">
    <w:name w:val="标准"/>
    <w:basedOn w:val="805"/>
    <w:uiPriority w:val="0"/>
    <w:qFormat/>
    <w:pPr>
      <w:ind w:firstLine="200"/>
      <w:spacing w:line="360" w:lineRule="auto"/>
    </w:pPr>
    <w:rPr>
      <w:rFonts w:cs="宋体"/>
      <w:sz w:val="20"/>
      <w:szCs w:val="20"/>
    </w:rPr>
  </w:style>
  <w:style w:type="character" w:styleId="1018" w:customStyle="1">
    <w:name w:val="NormalCharacter"/>
    <w:uiPriority w:val="0"/>
    <w:semiHidden/>
    <w:qFormat/>
    <w:rPr>
      <w:sz w:val="28"/>
      <w:lang w:val="en-US" w:eastAsia="zh-CN" w:bidi="ar-SA"/>
    </w:rPr>
  </w:style>
  <w:style w:type="paragraph" w:styleId="1019" w:customStyle="1">
    <w:name w:val="普通(网站)1"/>
    <w:basedOn w:val="1009"/>
    <w:uiPriority w:val="0"/>
    <w:qFormat/>
    <w:pPr>
      <w:jc w:val="left"/>
      <w:spacing w:before="100" w:beforeAutospacing="1" w:after="100" w:afterAutospacing="1"/>
      <w:widowControl/>
    </w:pPr>
    <w:rPr>
      <w:rFonts w:ascii="宋体" w:hAnsi="宋体"/>
      <w:sz w:val="24"/>
    </w:rPr>
  </w:style>
  <w:style w:type="paragraph" w:styleId="1020" w:customStyle="1">
    <w:name w:val="正文文本缩进1"/>
    <w:basedOn w:val="1009"/>
    <w:next w:val="1021"/>
    <w:uiPriority w:val="0"/>
    <w:qFormat/>
    <w:pPr>
      <w:ind w:left="420"/>
      <w:spacing w:after="120"/>
    </w:pPr>
  </w:style>
  <w:style w:type="paragraph" w:styleId="1021" w:customStyle="1">
    <w:name w:val="寄信人地址1"/>
    <w:basedOn w:val="1009"/>
    <w:uiPriority w:val="0"/>
    <w:qFormat/>
    <w:pPr>
      <w:ind w:firstLine="200"/>
    </w:pPr>
    <w:rPr>
      <w:rFonts w:ascii="Arial" w:hAnsi="Arial" w:eastAsia="仿宋_GB2312"/>
    </w:rPr>
  </w:style>
  <w:style w:type="paragraph" w:styleId="102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23">
    <w:name w:val="List Paragraph"/>
    <w:basedOn w:val="805"/>
    <w:uiPriority w:val="34"/>
    <w:qFormat/>
    <w:pPr>
      <w:ind w:firstLine="420"/>
    </w:pPr>
    <w:rPr>
      <w:rFonts w:ascii="Calibri" w:hAnsi="Calibri"/>
    </w:rPr>
  </w:style>
  <w:style w:type="character" w:styleId="1024" w:customStyle="1">
    <w:name w:val="批注框文本 Char"/>
    <w:basedOn w:val="815"/>
    <w:link w:val="833"/>
    <w:uiPriority w:val="0"/>
    <w:qFormat/>
    <w:rPr>
      <w:rFonts w:ascii="Times New Roman" w:hAnsi="Times New Roman" w:eastAsia="宋体" w:cs="Times New Roman"/>
      <w:sz w:val="18"/>
      <w:szCs w:val="18"/>
    </w:rPr>
  </w:style>
  <w:style w:type="character" w:styleId="1025" w:customStyle="1">
    <w:name w:val="页码1"/>
    <w:uiPriority w:val="0"/>
    <w:unhideWhenUsed/>
    <w:qFormat/>
    <w:rPr>
      <w:rFonts w:hint="default"/>
      <w:sz w:val="24"/>
      <w:szCs w:val="24"/>
    </w:rPr>
  </w:style>
  <w:style w:type="paragraph" w:styleId="1026" w:customStyle="1">
    <w:name w:val="索引 512"/>
    <w:next w:val="805"/>
    <w:uiPriority w:val="0"/>
    <w:qFormat/>
    <w:pPr>
      <w:ind w:left="798"/>
      <w:widowControl w:val="off"/>
    </w:pPr>
    <w:rPr>
      <w:rFonts w:ascii="Calibri" w:hAnsi="Calibri" w:eastAsia="宋体" w:cs="Times New Roman"/>
      <w:sz w:val="21"/>
      <w:szCs w:val="24"/>
      <w:lang w:val="en-US" w:eastAsia="zh-CN" w:bidi="ar-SA"/>
    </w:rPr>
  </w:style>
  <w:style w:type="paragraph" w:styleId="1027" w:customStyle="1">
    <w:name w:val="脚注文本12"/>
    <w:next w:val="1026"/>
    <w:uiPriority w:val="99"/>
    <w:qFormat/>
    <w:pPr>
      <w:widowControl w:val="off"/>
    </w:pPr>
    <w:rPr>
      <w:rFonts w:ascii="宋体" w:hAnsi="Times New Roman" w:eastAsia="Times New Roman" w:cs="Times New Roman"/>
      <w:sz w:val="18"/>
      <w:szCs w:val="18"/>
      <w:lang w:val="en-US" w:eastAsia="zh-CN" w:bidi="ar-SA"/>
    </w:rPr>
  </w:style>
  <w:style w:type="paragraph" w:styleId="1028" w:customStyle="1">
    <w:name w:val="列出段落"/>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李昆</cp:lastModifiedBy>
  <cp:revision>29</cp:revision>
  <dcterms:created xsi:type="dcterms:W3CDTF">2023-03-20T01:43:00Z</dcterms:created>
  <dcterms:modified xsi:type="dcterms:W3CDTF">2025-11-24T03:18:23Z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C320FCF7DE0841EC8C5FC4AF88B51DA7_13</vt:lpwstr>
  </property>
  <property fmtid="{D5CDD505-2E9C-101B-9397-08002B2CF9AE}" pid="4" name="KSOTemplateDocerSaveRecord">
    <vt:lpwstr>eyJoZGlkIjoiY2ZjNDJlZTQ4YTBjNzkyYTI4ZGYyZjgyOWMyMmRjNTMiLCJ1c2VySWQiOiI3MDgyNjYwMjYifQ==</vt:lpwstr>
  </property>
</Properties>
</file>